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4E07F7">
        <w:rPr>
          <w:rFonts w:ascii="Arial" w:hAnsi="Arial" w:cs="Arial"/>
          <w:sz w:val="24"/>
          <w:szCs w:val="28"/>
          <w:lang w:val="en-CA"/>
        </w:rPr>
        <w:t>4</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3546C5" w:rsidRPr="00862C73">
        <w:rPr>
          <w:rFonts w:ascii="Arial" w:hAnsi="Arial" w:cs="Arial"/>
          <w:sz w:val="24"/>
          <w:szCs w:val="28"/>
          <w:lang w:val="en-CA"/>
        </w:rPr>
        <w:t>0</w:t>
      </w:r>
      <w:r w:rsidR="004D077A">
        <w:rPr>
          <w:rFonts w:ascii="Arial" w:hAnsi="Arial" w:cs="Arial"/>
          <w:sz w:val="24"/>
          <w:szCs w:val="28"/>
          <w:lang w:val="en-CA"/>
        </w:rPr>
        <w:t>8319</w:t>
      </w:r>
    </w:p>
    <w:p w:rsidR="00D80957" w:rsidRPr="00862C73" w:rsidRDefault="004E07F7" w:rsidP="005A4F39">
      <w:pPr>
        <w:pStyle w:val="Header"/>
        <w:tabs>
          <w:tab w:val="right" w:pos="9072"/>
        </w:tabs>
        <w:rPr>
          <w:rFonts w:ascii="Arial" w:hAnsi="Arial" w:cs="Arial"/>
          <w:sz w:val="24"/>
          <w:szCs w:val="28"/>
          <w:lang w:val="en-CA"/>
        </w:rPr>
      </w:pPr>
      <w:r>
        <w:rPr>
          <w:rFonts w:ascii="Arial" w:hAnsi="Arial" w:cs="Arial"/>
          <w:sz w:val="24"/>
          <w:szCs w:val="28"/>
          <w:lang w:val="en-CA"/>
        </w:rPr>
        <w:t>Berlin</w:t>
      </w:r>
      <w:r w:rsidR="006F2C29" w:rsidRPr="00862C73">
        <w:rPr>
          <w:rFonts w:ascii="Arial" w:hAnsi="Arial" w:cs="Arial"/>
          <w:sz w:val="24"/>
          <w:szCs w:val="28"/>
          <w:lang w:val="en-CA"/>
        </w:rPr>
        <w:t xml:space="preserve">, </w:t>
      </w:r>
      <w:r>
        <w:rPr>
          <w:rFonts w:ascii="Arial" w:hAnsi="Arial" w:cs="Arial"/>
          <w:sz w:val="24"/>
          <w:szCs w:val="28"/>
          <w:lang w:val="en-CA"/>
        </w:rPr>
        <w:t>Germany</w:t>
      </w:r>
      <w:r w:rsidR="006F2C29" w:rsidRPr="00862C73">
        <w:rPr>
          <w:rFonts w:ascii="Arial" w:hAnsi="Arial" w:cs="Arial"/>
          <w:sz w:val="24"/>
          <w:szCs w:val="28"/>
          <w:lang w:val="en-CA"/>
        </w:rPr>
        <w:t xml:space="preserve">, </w:t>
      </w:r>
      <w:r>
        <w:rPr>
          <w:rFonts w:ascii="Arial" w:hAnsi="Arial" w:cs="Arial"/>
          <w:sz w:val="24"/>
          <w:szCs w:val="28"/>
          <w:lang w:val="en-CA"/>
        </w:rPr>
        <w:t>August</w:t>
      </w:r>
      <w:r w:rsidR="006F2C29" w:rsidRPr="00862C73">
        <w:rPr>
          <w:rFonts w:ascii="Arial" w:hAnsi="Arial" w:cs="Arial"/>
          <w:sz w:val="24"/>
          <w:szCs w:val="28"/>
          <w:lang w:val="en-CA"/>
        </w:rPr>
        <w:t xml:space="preserve"> </w:t>
      </w:r>
      <w:r>
        <w:rPr>
          <w:rFonts w:ascii="Arial" w:hAnsi="Arial" w:cs="Arial"/>
          <w:sz w:val="24"/>
          <w:szCs w:val="28"/>
          <w:lang w:val="en-CA"/>
        </w:rPr>
        <w:t>21</w:t>
      </w:r>
      <w:r w:rsidR="006F2C29" w:rsidRPr="00862C73">
        <w:rPr>
          <w:rFonts w:ascii="Arial" w:hAnsi="Arial" w:cs="Arial"/>
          <w:sz w:val="24"/>
          <w:szCs w:val="28"/>
          <w:lang w:val="en-CA"/>
        </w:rPr>
        <w:t xml:space="preserve"> – </w:t>
      </w:r>
      <w:r>
        <w:rPr>
          <w:rFonts w:ascii="Arial" w:hAnsi="Arial" w:cs="Arial"/>
          <w:sz w:val="24"/>
          <w:szCs w:val="28"/>
          <w:lang w:val="en-CA"/>
        </w:rPr>
        <w:t>25</w:t>
      </w:r>
      <w:r w:rsidR="006F2C29" w:rsidRPr="00862C73">
        <w:rPr>
          <w:rFonts w:ascii="Arial" w:hAnsi="Arial" w:cs="Arial"/>
          <w:sz w:val="24"/>
          <w:szCs w:val="28"/>
          <w:lang w:val="en-CA"/>
        </w:rPr>
        <w:t>, 2017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4D077A" w:rsidRPr="004D077A">
        <w:rPr>
          <w:rFonts w:ascii="Arial" w:hAnsi="Arial" w:cs="Arial"/>
          <w:bCs/>
          <w:sz w:val="22"/>
          <w:szCs w:val="22"/>
          <w:lang w:val="en-CA"/>
        </w:rPr>
        <w:t>7.</w:t>
      </w:r>
      <w:bookmarkStart w:id="0" w:name="_GoBack"/>
      <w:bookmarkEnd w:id="0"/>
      <w:r w:rsidR="004D077A" w:rsidRPr="004D077A">
        <w:rPr>
          <w:rFonts w:ascii="Arial" w:hAnsi="Arial" w:cs="Arial"/>
          <w:bCs/>
          <w:sz w:val="22"/>
          <w:szCs w:val="22"/>
          <w:lang w:val="en-CA"/>
        </w:rPr>
        <w:t>9.6</w:t>
      </w:r>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6232DE">
        <w:rPr>
          <w:rFonts w:ascii="Arial" w:hAnsi="Arial" w:cs="Arial"/>
          <w:sz w:val="22"/>
          <w:szCs w:val="22"/>
          <w:lang w:val="en-CA"/>
        </w:rPr>
        <w:t xml:space="preserve">Measurement accuracy of </w:t>
      </w:r>
      <w:r w:rsidR="0029348C">
        <w:rPr>
          <w:rFonts w:ascii="Arial" w:hAnsi="Arial" w:cs="Arial"/>
          <w:sz w:val="22"/>
          <w:szCs w:val="22"/>
          <w:lang w:val="en-CA"/>
        </w:rPr>
        <w:t>non-BL/CE</w:t>
      </w:r>
      <w:r w:rsidR="006232DE">
        <w:rPr>
          <w:rFonts w:ascii="Arial" w:hAnsi="Arial" w:cs="Arial"/>
          <w:sz w:val="22"/>
          <w:szCs w:val="22"/>
          <w:lang w:val="en-CA"/>
        </w:rPr>
        <w:t xml:space="preserve"> in CE Mode B</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D80957" w:rsidRPr="00862C73" w:rsidRDefault="00D80957" w:rsidP="00BC3FE3">
      <w:pPr>
        <w:pStyle w:val="Heading1"/>
        <w:ind w:left="431" w:hanging="431"/>
        <w:rPr>
          <w:szCs w:val="36"/>
          <w:lang w:val="en-CA"/>
        </w:rPr>
      </w:pPr>
      <w:r w:rsidRPr="00862C73">
        <w:rPr>
          <w:szCs w:val="36"/>
          <w:lang w:val="en-CA"/>
        </w:rPr>
        <w:t>Introduction</w:t>
      </w:r>
      <w:bookmarkStart w:id="1" w:name="OLE_LINK13"/>
      <w:bookmarkStart w:id="2" w:name="OLE_LINK14"/>
    </w:p>
    <w:p w:rsidR="006232DE" w:rsidRDefault="007F073E" w:rsidP="00BD2156">
      <w:pPr>
        <w:jc w:val="both"/>
        <w:rPr>
          <w:sz w:val="22"/>
          <w:szCs w:val="22"/>
          <w:lang w:val="en-CA"/>
        </w:rPr>
      </w:pPr>
      <w:r>
        <w:rPr>
          <w:sz w:val="22"/>
          <w:szCs w:val="22"/>
          <w:lang w:val="en-CA"/>
        </w:rPr>
        <w:t>At RAN4</w:t>
      </w:r>
      <w:r w:rsidR="006232DE">
        <w:rPr>
          <w:sz w:val="22"/>
          <w:szCs w:val="22"/>
          <w:lang w:val="en-CA"/>
        </w:rPr>
        <w:t xml:space="preserve">#83 improvement of measurement accuracy of non-BL UEs operating in CE Mode B was discussed. In a WF </w:t>
      </w:r>
      <w:r w:rsidR="006232DE">
        <w:rPr>
          <w:sz w:val="22"/>
          <w:szCs w:val="22"/>
          <w:lang w:val="en-CA"/>
        </w:rPr>
        <w:fldChar w:fldCharType="begin"/>
      </w:r>
      <w:r w:rsidR="006232DE">
        <w:rPr>
          <w:sz w:val="22"/>
          <w:szCs w:val="22"/>
          <w:lang w:val="en-CA"/>
        </w:rPr>
        <w:instrText xml:space="preserve"> REF _Ref489875739 \r \h </w:instrText>
      </w:r>
      <w:r w:rsidR="006232DE">
        <w:rPr>
          <w:sz w:val="22"/>
          <w:szCs w:val="22"/>
          <w:lang w:val="en-CA"/>
        </w:rPr>
      </w:r>
      <w:r w:rsidR="006232DE">
        <w:rPr>
          <w:sz w:val="22"/>
          <w:szCs w:val="22"/>
          <w:lang w:val="en-CA"/>
        </w:rPr>
        <w:fldChar w:fldCharType="separate"/>
      </w:r>
      <w:r w:rsidR="006232DE">
        <w:rPr>
          <w:sz w:val="22"/>
          <w:szCs w:val="22"/>
          <w:lang w:val="en-CA"/>
        </w:rPr>
        <w:t>[1]</w:t>
      </w:r>
      <w:r w:rsidR="006232DE">
        <w:rPr>
          <w:sz w:val="22"/>
          <w:szCs w:val="22"/>
          <w:lang w:val="en-CA"/>
        </w:rPr>
        <w:fldChar w:fldCharType="end"/>
      </w:r>
      <w:r w:rsidR="006232DE">
        <w:rPr>
          <w:sz w:val="22"/>
          <w:szCs w:val="22"/>
          <w:lang w:val="en-CA"/>
        </w:rPr>
        <w:t xml:space="preserve"> it was agreed that companies would look into whether the measurement accuracy can be improved by having the non-BL UE using both receiver branches when operating in CE Mode B.</w:t>
      </w:r>
    </w:p>
    <w:p w:rsidR="006232DE" w:rsidRDefault="006232DE" w:rsidP="00BD2156">
      <w:pPr>
        <w:jc w:val="both"/>
        <w:rPr>
          <w:sz w:val="22"/>
          <w:szCs w:val="22"/>
          <w:lang w:val="en-CA"/>
        </w:rPr>
      </w:pPr>
      <w:r>
        <w:rPr>
          <w:sz w:val="22"/>
          <w:szCs w:val="22"/>
          <w:lang w:val="en-CA"/>
        </w:rPr>
        <w:t>In this contribution, we present comparative simulation results for usage of a single and dual Rx branches, respectively. The simulations indicate that it would be feasible to tighten the measurement accuracy in the upper SINR range (-12 ≤ Ês/Iot &lt; -6 dB) in CE Mode B by 1.5dB compared to BL UEs.</w:t>
      </w:r>
    </w:p>
    <w:p w:rsidR="00B67CB3" w:rsidRDefault="006232DE" w:rsidP="00BD2156">
      <w:pPr>
        <w:jc w:val="both"/>
        <w:rPr>
          <w:sz w:val="22"/>
          <w:szCs w:val="22"/>
          <w:lang w:val="en-CA"/>
        </w:rPr>
      </w:pPr>
      <w:r>
        <w:rPr>
          <w:sz w:val="22"/>
          <w:szCs w:val="22"/>
          <w:lang w:val="en-CA"/>
        </w:rPr>
        <w:t xml:space="preserve">For justifications on why it would be desirable to improve the measurement accuracy, see </w:t>
      </w:r>
      <w:r>
        <w:rPr>
          <w:sz w:val="22"/>
          <w:szCs w:val="22"/>
          <w:lang w:val="en-CA"/>
        </w:rPr>
        <w:fldChar w:fldCharType="begin"/>
      </w:r>
      <w:r>
        <w:rPr>
          <w:sz w:val="22"/>
          <w:szCs w:val="22"/>
          <w:lang w:val="en-CA"/>
        </w:rPr>
        <w:instrText xml:space="preserve"> REF _Ref489875739 \r \h </w:instrText>
      </w:r>
      <w:r>
        <w:rPr>
          <w:sz w:val="22"/>
          <w:szCs w:val="22"/>
          <w:lang w:val="en-CA"/>
        </w:rPr>
      </w:r>
      <w:r>
        <w:rPr>
          <w:sz w:val="22"/>
          <w:szCs w:val="22"/>
          <w:lang w:val="en-CA"/>
        </w:rPr>
        <w:fldChar w:fldCharType="separate"/>
      </w:r>
      <w:r>
        <w:rPr>
          <w:sz w:val="22"/>
          <w:szCs w:val="22"/>
          <w:lang w:val="en-CA"/>
        </w:rPr>
        <w:t>[1]</w:t>
      </w:r>
      <w:r>
        <w:rPr>
          <w:sz w:val="22"/>
          <w:szCs w:val="22"/>
          <w:lang w:val="en-CA"/>
        </w:rPr>
        <w:fldChar w:fldCharType="end"/>
      </w:r>
      <w:r>
        <w:rPr>
          <w:sz w:val="22"/>
          <w:szCs w:val="22"/>
          <w:lang w:val="en-CA"/>
        </w:rPr>
        <w:t>.</w:t>
      </w:r>
    </w:p>
    <w:p w:rsidR="006201C2" w:rsidRPr="00795BA1" w:rsidRDefault="00F10F88" w:rsidP="00795BA1">
      <w:pPr>
        <w:pStyle w:val="Heading1"/>
        <w:ind w:left="431" w:hanging="431"/>
        <w:rPr>
          <w:szCs w:val="36"/>
          <w:lang w:val="en-CA"/>
        </w:rPr>
      </w:pPr>
      <w:r w:rsidRPr="00862C73">
        <w:rPr>
          <w:szCs w:val="36"/>
          <w:lang w:val="en-CA"/>
        </w:rPr>
        <w:t>Background</w:t>
      </w:r>
    </w:p>
    <w:p w:rsidR="00661D60" w:rsidRPr="00862C73" w:rsidRDefault="00661D60" w:rsidP="00661D60">
      <w:pPr>
        <w:pStyle w:val="Heading2"/>
        <w:rPr>
          <w:lang w:val="en-CA"/>
        </w:rPr>
      </w:pPr>
      <w:r w:rsidRPr="00862C73">
        <w:rPr>
          <w:lang w:val="en-CA"/>
        </w:rPr>
        <w:t>RSRP and RSRQ Measurement approach</w:t>
      </w:r>
    </w:p>
    <w:p w:rsidR="00661D60" w:rsidRPr="002B27E4" w:rsidRDefault="00661D60" w:rsidP="00661D60">
      <w:pPr>
        <w:jc w:val="both"/>
        <w:rPr>
          <w:sz w:val="22"/>
          <w:szCs w:val="22"/>
          <w:lang w:val="en-CA" w:eastAsia="ja-JP"/>
        </w:rPr>
      </w:pPr>
      <w:r w:rsidRPr="002B27E4">
        <w:rPr>
          <w:sz w:val="22"/>
          <w:szCs w:val="22"/>
          <w:lang w:val="en-CA" w:eastAsia="ja-JP"/>
        </w:rPr>
        <w:t>The legacy requirements on measurement accuracy in static (AWGN) conditions can be met by coherently averaging 8 CRSs, calculate the power, and then average such power estimates non-coherently over 2x5 subframes. The coherent averaging reduces the bias and the non-coherent averaging the variance of the RSRP estimate. The increase in S</w:t>
      </w:r>
      <w:r w:rsidR="005F7972">
        <w:rPr>
          <w:sz w:val="22"/>
          <w:szCs w:val="22"/>
          <w:lang w:val="en-CA" w:eastAsia="ja-JP"/>
        </w:rPr>
        <w:t>I</w:t>
      </w:r>
      <w:r w:rsidRPr="002B27E4">
        <w:rPr>
          <w:sz w:val="22"/>
          <w:szCs w:val="22"/>
          <w:lang w:val="en-CA" w:eastAsia="ja-JP"/>
        </w:rPr>
        <w:t>NR achieved by the coherent averaging is 3dB for every doubling of the number of coherently averaged CRSs. Hence when deriving the legacy requirements an S</w:t>
      </w:r>
      <w:r w:rsidR="005F7972">
        <w:rPr>
          <w:sz w:val="22"/>
          <w:szCs w:val="22"/>
          <w:lang w:val="en-CA" w:eastAsia="ja-JP"/>
        </w:rPr>
        <w:t>I</w:t>
      </w:r>
      <w:r w:rsidRPr="002B27E4">
        <w:rPr>
          <w:sz w:val="22"/>
          <w:szCs w:val="22"/>
          <w:lang w:val="en-CA" w:eastAsia="ja-JP"/>
        </w:rPr>
        <w:t>NR increase of 9dB was achieved, allowing measurement accuracy requirements to be fulfilled at least down to Ês/Iot -6dB.</w:t>
      </w:r>
    </w:p>
    <w:p w:rsidR="005F7972" w:rsidRDefault="00661D60" w:rsidP="00661D60">
      <w:pPr>
        <w:jc w:val="both"/>
        <w:rPr>
          <w:sz w:val="22"/>
          <w:szCs w:val="22"/>
          <w:lang w:val="en-CA" w:eastAsia="ja-JP"/>
        </w:rPr>
      </w:pPr>
      <w:r w:rsidRPr="005F7972">
        <w:rPr>
          <w:sz w:val="22"/>
          <w:szCs w:val="22"/>
          <w:lang w:val="en-CA" w:eastAsia="ja-JP"/>
        </w:rPr>
        <w:t>To be able to accurately support enhan</w:t>
      </w:r>
      <w:r w:rsidR="005F7972">
        <w:rPr>
          <w:sz w:val="22"/>
          <w:szCs w:val="22"/>
          <w:lang w:val="en-CA" w:eastAsia="ja-JP"/>
        </w:rPr>
        <w:t>ced coverage down to Ês/Iot -15dB</w:t>
      </w:r>
      <w:r w:rsidRPr="005F7972">
        <w:rPr>
          <w:sz w:val="22"/>
          <w:szCs w:val="22"/>
          <w:lang w:val="en-CA" w:eastAsia="ja-JP"/>
        </w:rPr>
        <w:t xml:space="preserve">, the coherent averaging needs to include more samples to provide sufficient number of REs containing CRS compared to that of an individual CRS. Using all CRSs in two adjacent subframes </w:t>
      </w:r>
      <w:r w:rsidR="005F7972">
        <w:rPr>
          <w:sz w:val="22"/>
          <w:szCs w:val="22"/>
          <w:lang w:val="en-CA" w:eastAsia="ja-JP"/>
        </w:rPr>
        <w:t xml:space="preserve">provides 96 CRSs, which allows for an SINR increase of about 10.8dB and thus would allow Ês/Iot down to -16.8 dB to be supported. However, increasing the time and frequency window over which the REs are coherently averaged makes the result sensitive to time- and frequency characteristics of the propagation channel, as well as to carrier frequency offset. Therefore, the performance gain by increasing the number of REs </w:t>
      </w:r>
      <w:r w:rsidR="00D22E77">
        <w:rPr>
          <w:sz w:val="22"/>
          <w:szCs w:val="22"/>
          <w:lang w:val="en-CA" w:eastAsia="ja-JP"/>
        </w:rPr>
        <w:t xml:space="preserve">in general </w:t>
      </w:r>
      <w:r w:rsidR="005F7972">
        <w:rPr>
          <w:sz w:val="22"/>
          <w:szCs w:val="22"/>
          <w:lang w:val="en-CA" w:eastAsia="ja-JP"/>
        </w:rPr>
        <w:t>is smaller than in theory.</w:t>
      </w:r>
    </w:p>
    <w:p w:rsidR="00661D60" w:rsidRPr="00862C73" w:rsidRDefault="00661D60" w:rsidP="00661D60">
      <w:pPr>
        <w:jc w:val="both"/>
        <w:rPr>
          <w:sz w:val="22"/>
          <w:szCs w:val="22"/>
          <w:lang w:val="en-CA" w:eastAsia="ja-JP"/>
        </w:rPr>
      </w:pPr>
      <w:r w:rsidRPr="005F7972">
        <w:rPr>
          <w:sz w:val="22"/>
          <w:szCs w:val="22"/>
          <w:lang w:val="en-CA" w:eastAsia="ja-JP"/>
        </w:rPr>
        <w:t xml:space="preserve">The two sizes of coherent averages are shown in </w:t>
      </w:r>
      <w:r w:rsidRPr="005F7972">
        <w:rPr>
          <w:sz w:val="22"/>
          <w:szCs w:val="22"/>
          <w:lang w:val="en-CA" w:eastAsia="ja-JP"/>
        </w:rPr>
        <w:fldChar w:fldCharType="begin"/>
      </w:r>
      <w:r w:rsidRPr="005F7972">
        <w:rPr>
          <w:sz w:val="22"/>
          <w:szCs w:val="22"/>
          <w:lang w:val="en-CA" w:eastAsia="ja-JP"/>
        </w:rPr>
        <w:instrText xml:space="preserve"> REF _Ref416707870 \h  \* MERGEFORMAT </w:instrText>
      </w:r>
      <w:r w:rsidRPr="005F7972">
        <w:rPr>
          <w:sz w:val="22"/>
          <w:szCs w:val="22"/>
          <w:lang w:val="en-CA" w:eastAsia="ja-JP"/>
        </w:rPr>
      </w:r>
      <w:r w:rsidRPr="005F7972">
        <w:rPr>
          <w:sz w:val="22"/>
          <w:szCs w:val="22"/>
          <w:lang w:val="en-CA" w:eastAsia="ja-JP"/>
        </w:rPr>
        <w:fldChar w:fldCharType="separate"/>
      </w:r>
      <w:r w:rsidR="000C59C6" w:rsidRPr="000C59C6">
        <w:rPr>
          <w:sz w:val="22"/>
          <w:szCs w:val="22"/>
          <w:lang w:val="en-CA"/>
        </w:rPr>
        <w:t xml:space="preserve">Figure </w:t>
      </w:r>
      <w:r w:rsidR="000C59C6" w:rsidRPr="000C59C6">
        <w:rPr>
          <w:noProof/>
          <w:sz w:val="22"/>
          <w:szCs w:val="22"/>
          <w:lang w:val="en-CA"/>
        </w:rPr>
        <w:t>1</w:t>
      </w:r>
      <w:r w:rsidRPr="005F7972">
        <w:rPr>
          <w:sz w:val="22"/>
          <w:szCs w:val="22"/>
          <w:lang w:val="en-CA" w:eastAsia="ja-JP"/>
        </w:rPr>
        <w:fldChar w:fldCharType="end"/>
      </w:r>
      <w:r w:rsidRPr="005F7972">
        <w:rPr>
          <w:sz w:val="22"/>
          <w:szCs w:val="22"/>
          <w:lang w:val="en-CA" w:eastAsia="ja-JP"/>
        </w:rPr>
        <w:t>.</w:t>
      </w:r>
      <w:r w:rsidRPr="00862C73">
        <w:rPr>
          <w:sz w:val="22"/>
          <w:szCs w:val="22"/>
          <w:lang w:val="en-CA" w:eastAsia="ja-JP"/>
        </w:rPr>
        <w:t xml:space="preserve"> </w:t>
      </w:r>
    </w:p>
    <w:p w:rsidR="00661D60" w:rsidRPr="00862C73" w:rsidRDefault="00661D60" w:rsidP="005F7972">
      <w:pPr>
        <w:keepNext/>
        <w:jc w:val="center"/>
        <w:rPr>
          <w:lang w:val="en-CA"/>
        </w:rPr>
      </w:pPr>
      <w:r w:rsidRPr="00862C73">
        <w:rPr>
          <w:lang w:val="en-CA"/>
        </w:rPr>
        <w:object w:dxaOrig="8955"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60.5pt" o:ole="">
            <v:imagedata r:id="rId8" o:title=""/>
          </v:shape>
          <o:OLEObject Type="Embed" ProgID="Visio.Drawing.15" ShapeID="_x0000_i1025" DrawAspect="Content" ObjectID="_1563968138" r:id="rId9"/>
        </w:object>
      </w:r>
    </w:p>
    <w:p w:rsidR="00661D60" w:rsidRPr="00C43400" w:rsidRDefault="00661D60" w:rsidP="00661D60">
      <w:pPr>
        <w:pStyle w:val="Caption"/>
        <w:jc w:val="both"/>
        <w:rPr>
          <w:b w:val="0"/>
          <w:sz w:val="22"/>
          <w:lang w:val="en-CA"/>
        </w:rPr>
      </w:pPr>
      <w:bookmarkStart w:id="3" w:name="_Ref416707870"/>
      <w:r w:rsidRPr="00862C73">
        <w:rPr>
          <w:sz w:val="22"/>
          <w:lang w:val="en-CA"/>
        </w:rPr>
        <w:t xml:space="preserve">Figure </w:t>
      </w:r>
      <w:r w:rsidRPr="00862C73">
        <w:rPr>
          <w:sz w:val="22"/>
          <w:lang w:val="en-CA"/>
        </w:rPr>
        <w:fldChar w:fldCharType="begin"/>
      </w:r>
      <w:r w:rsidRPr="00862C73">
        <w:rPr>
          <w:sz w:val="22"/>
          <w:lang w:val="en-CA"/>
        </w:rPr>
        <w:instrText xml:space="preserve"> SEQ Figure \* ARABIC </w:instrText>
      </w:r>
      <w:r w:rsidRPr="00862C73">
        <w:rPr>
          <w:sz w:val="22"/>
          <w:lang w:val="en-CA"/>
        </w:rPr>
        <w:fldChar w:fldCharType="separate"/>
      </w:r>
      <w:r w:rsidR="000C59C6">
        <w:rPr>
          <w:noProof/>
          <w:sz w:val="22"/>
          <w:lang w:val="en-CA"/>
        </w:rPr>
        <w:t>1</w:t>
      </w:r>
      <w:r w:rsidRPr="00862C73">
        <w:rPr>
          <w:sz w:val="22"/>
          <w:lang w:val="en-CA"/>
        </w:rPr>
        <w:fldChar w:fldCharType="end"/>
      </w:r>
      <w:bookmarkEnd w:id="3"/>
      <w:r w:rsidRPr="00862C73">
        <w:rPr>
          <w:sz w:val="22"/>
          <w:lang w:val="en-CA"/>
        </w:rPr>
        <w:t xml:space="preserve">: </w:t>
      </w:r>
      <w:r w:rsidRPr="00C43400">
        <w:rPr>
          <w:b w:val="0"/>
          <w:sz w:val="22"/>
          <w:lang w:val="en-CA"/>
        </w:rPr>
        <w:t>Illustration of (left) coherent averaging based on 8 CRSs and (right) on 96 CRSs. The former can increase the SINR by 9dB and the latter by 19.8 dB.</w:t>
      </w:r>
    </w:p>
    <w:p w:rsidR="00661D60" w:rsidRPr="00862C73" w:rsidRDefault="00661D60" w:rsidP="00661D60">
      <w:pPr>
        <w:rPr>
          <w:lang w:val="en-CA" w:eastAsia="ja-JP"/>
        </w:rPr>
      </w:pPr>
    </w:p>
    <w:p w:rsidR="00E50B46" w:rsidRDefault="00E50B46" w:rsidP="00E50B46">
      <w:pPr>
        <w:pStyle w:val="Heading2"/>
        <w:rPr>
          <w:lang w:val="en-CA" w:eastAsia="ja-JP"/>
        </w:rPr>
      </w:pPr>
      <w:r>
        <w:rPr>
          <w:lang w:val="en-CA" w:eastAsia="ja-JP"/>
        </w:rPr>
        <w:t>Simulation assumptions</w:t>
      </w:r>
    </w:p>
    <w:p w:rsidR="00661D60" w:rsidRPr="0000376E" w:rsidRDefault="00661D60" w:rsidP="00661D60">
      <w:pPr>
        <w:spacing w:before="240" w:after="60"/>
        <w:jc w:val="center"/>
        <w:rPr>
          <w:b/>
          <w:bCs/>
          <w:sz w:val="28"/>
          <w:lang w:val="en-CA"/>
        </w:rPr>
      </w:pPr>
    </w:p>
    <w:p w:rsidR="0000376E" w:rsidRPr="0000376E" w:rsidRDefault="0000376E" w:rsidP="0000376E">
      <w:pPr>
        <w:pStyle w:val="Caption"/>
        <w:keepNext/>
        <w:rPr>
          <w:sz w:val="22"/>
          <w:lang w:val="en-US"/>
        </w:rPr>
      </w:pPr>
      <w:bookmarkStart w:id="4" w:name="_Ref481677089"/>
      <w:r w:rsidRPr="0000376E">
        <w:rPr>
          <w:sz w:val="22"/>
          <w:lang w:val="en-US"/>
        </w:rPr>
        <w:t xml:space="preserve">Table </w:t>
      </w:r>
      <w:r w:rsidRPr="0000376E">
        <w:rPr>
          <w:sz w:val="22"/>
        </w:rPr>
        <w:fldChar w:fldCharType="begin"/>
      </w:r>
      <w:r w:rsidRPr="0000376E">
        <w:rPr>
          <w:sz w:val="22"/>
          <w:lang w:val="en-US"/>
        </w:rPr>
        <w:instrText xml:space="preserve"> SEQ Table \* ARABIC </w:instrText>
      </w:r>
      <w:r w:rsidRPr="0000376E">
        <w:rPr>
          <w:sz w:val="22"/>
        </w:rPr>
        <w:fldChar w:fldCharType="separate"/>
      </w:r>
      <w:r w:rsidR="000C59C6">
        <w:rPr>
          <w:noProof/>
          <w:sz w:val="22"/>
          <w:lang w:val="en-US"/>
        </w:rPr>
        <w:t>1</w:t>
      </w:r>
      <w:r w:rsidRPr="0000376E">
        <w:rPr>
          <w:sz w:val="22"/>
        </w:rPr>
        <w:fldChar w:fldCharType="end"/>
      </w:r>
      <w:bookmarkEnd w:id="4"/>
      <w:r w:rsidRPr="0000376E">
        <w:rPr>
          <w:sz w:val="22"/>
          <w:lang w:val="en-US"/>
        </w:rPr>
        <w:t xml:space="preserve">: </w:t>
      </w:r>
      <w:r w:rsidRPr="0000376E">
        <w:rPr>
          <w:b w:val="0"/>
          <w:sz w:val="22"/>
          <w:lang w:val="en-US"/>
        </w:rPr>
        <w:t xml:space="preserve">Simulation parameters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409"/>
        <w:gridCol w:w="4111"/>
      </w:tblGrid>
      <w:tr w:rsidR="00661D60" w:rsidRPr="00862C73" w:rsidTr="00491382">
        <w:trPr>
          <w:jc w:val="center"/>
        </w:trPr>
        <w:tc>
          <w:tcPr>
            <w:tcW w:w="2694" w:type="dxa"/>
            <w:shd w:val="clear" w:color="auto" w:fill="auto"/>
          </w:tcPr>
          <w:p w:rsidR="00661D60" w:rsidRPr="00862C73" w:rsidRDefault="00661D60" w:rsidP="00491382">
            <w:pPr>
              <w:spacing w:after="0"/>
              <w:jc w:val="center"/>
              <w:rPr>
                <w:b/>
                <w:bCs/>
                <w:lang w:val="en-CA"/>
              </w:rPr>
            </w:pPr>
            <w:r w:rsidRPr="00862C73">
              <w:rPr>
                <w:b/>
                <w:bCs/>
                <w:lang w:val="en-CA"/>
              </w:rPr>
              <w:t>Parameters</w:t>
            </w:r>
          </w:p>
        </w:tc>
        <w:tc>
          <w:tcPr>
            <w:tcW w:w="2409" w:type="dxa"/>
            <w:shd w:val="clear" w:color="auto" w:fill="auto"/>
          </w:tcPr>
          <w:p w:rsidR="00661D60" w:rsidRPr="00862C73" w:rsidRDefault="00661D60" w:rsidP="00491382">
            <w:pPr>
              <w:spacing w:after="0"/>
              <w:jc w:val="center"/>
              <w:rPr>
                <w:b/>
                <w:bCs/>
                <w:lang w:val="en-CA"/>
              </w:rPr>
            </w:pPr>
            <w:r w:rsidRPr="00862C73">
              <w:rPr>
                <w:b/>
                <w:bCs/>
                <w:lang w:val="en-CA"/>
              </w:rPr>
              <w:t>Value</w:t>
            </w:r>
          </w:p>
        </w:tc>
        <w:tc>
          <w:tcPr>
            <w:tcW w:w="4111" w:type="dxa"/>
            <w:shd w:val="clear" w:color="auto" w:fill="auto"/>
          </w:tcPr>
          <w:p w:rsidR="00661D60" w:rsidRPr="00862C73" w:rsidRDefault="00661D60" w:rsidP="00491382">
            <w:pPr>
              <w:spacing w:after="0"/>
              <w:jc w:val="center"/>
              <w:rPr>
                <w:b/>
                <w:bCs/>
                <w:lang w:val="en-CA"/>
              </w:rPr>
            </w:pPr>
            <w:r w:rsidRPr="00862C73">
              <w:rPr>
                <w:b/>
                <w:bCs/>
                <w:lang w:val="en-CA"/>
              </w:rPr>
              <w:t>Comments</w:t>
            </w: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Measurement bandwidth</w:t>
            </w:r>
          </w:p>
        </w:tc>
        <w:tc>
          <w:tcPr>
            <w:tcW w:w="2409" w:type="dxa"/>
            <w:shd w:val="clear" w:color="auto" w:fill="auto"/>
          </w:tcPr>
          <w:p w:rsidR="00661D60" w:rsidRPr="00862C73" w:rsidRDefault="00661D60" w:rsidP="00CC7994">
            <w:pPr>
              <w:spacing w:after="0"/>
              <w:ind w:leftChars="119" w:left="238"/>
              <w:jc w:val="center"/>
              <w:rPr>
                <w:lang w:val="en-CA" w:eastAsia="zh-CN"/>
              </w:rPr>
            </w:pPr>
            <w:r w:rsidRPr="00862C73">
              <w:rPr>
                <w:lang w:val="en-CA" w:eastAsia="zh-CN"/>
              </w:rPr>
              <w:t>6 RBs</w:t>
            </w:r>
          </w:p>
        </w:tc>
        <w:tc>
          <w:tcPr>
            <w:tcW w:w="4111" w:type="dxa"/>
            <w:shd w:val="clear" w:color="auto" w:fill="auto"/>
          </w:tcPr>
          <w:p w:rsidR="00661D60" w:rsidRPr="00862C73" w:rsidRDefault="00661D60" w:rsidP="00491382">
            <w:pPr>
              <w:spacing w:after="0"/>
              <w:rPr>
                <w:lang w:val="en-CA"/>
              </w:rPr>
            </w:pP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bookmarkStart w:id="5" w:name="OLE_LINK29"/>
            <w:bookmarkStart w:id="6" w:name="OLE_LINK30"/>
            <w:r w:rsidRPr="00862C73">
              <w:rPr>
                <w:lang w:val="en-CA"/>
              </w:rPr>
              <w:t>L1 measurement period</w:t>
            </w:r>
            <w:bookmarkEnd w:id="5"/>
            <w:bookmarkEnd w:id="6"/>
          </w:p>
        </w:tc>
        <w:tc>
          <w:tcPr>
            <w:tcW w:w="2409" w:type="dxa"/>
            <w:shd w:val="clear" w:color="auto" w:fill="auto"/>
          </w:tcPr>
          <w:p w:rsidR="006A6FBE" w:rsidRPr="00862C73" w:rsidRDefault="006A6FBE" w:rsidP="00661D60">
            <w:pPr>
              <w:spacing w:after="0"/>
              <w:jc w:val="center"/>
              <w:rPr>
                <w:lang w:val="en-CA" w:eastAsia="zh-CN"/>
              </w:rPr>
            </w:pPr>
            <w:r>
              <w:rPr>
                <w:lang w:val="en-CA" w:eastAsia="zh-CN"/>
              </w:rPr>
              <w:t>1600 ms (CE mode B)</w:t>
            </w:r>
          </w:p>
        </w:tc>
        <w:tc>
          <w:tcPr>
            <w:tcW w:w="4111" w:type="dxa"/>
            <w:shd w:val="clear" w:color="auto" w:fill="auto"/>
          </w:tcPr>
          <w:p w:rsidR="00661D60" w:rsidRPr="00862C73" w:rsidRDefault="00661D60" w:rsidP="00491382">
            <w:pPr>
              <w:spacing w:after="0"/>
              <w:rPr>
                <w:lang w:val="en-CA"/>
              </w:rPr>
            </w:pP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Measurement sampling rate</w:t>
            </w:r>
          </w:p>
        </w:tc>
        <w:tc>
          <w:tcPr>
            <w:tcW w:w="2409" w:type="dxa"/>
            <w:shd w:val="clear" w:color="auto" w:fill="auto"/>
          </w:tcPr>
          <w:p w:rsidR="00661D60" w:rsidRPr="00862C73" w:rsidRDefault="006A6FBE" w:rsidP="00491382">
            <w:pPr>
              <w:spacing w:after="0"/>
              <w:jc w:val="center"/>
              <w:rPr>
                <w:lang w:val="en-CA" w:eastAsia="zh-CN"/>
              </w:rPr>
            </w:pPr>
            <w:r>
              <w:rPr>
                <w:lang w:val="en-CA" w:eastAsia="zh-CN"/>
              </w:rPr>
              <w:t>8</w:t>
            </w:r>
            <w:r w:rsidR="00661D60" w:rsidRPr="00862C73">
              <w:rPr>
                <w:lang w:val="en-CA" w:eastAsia="zh-CN"/>
              </w:rPr>
              <w:t>0ms</w:t>
            </w:r>
          </w:p>
          <w:p w:rsidR="00661D60" w:rsidRPr="00862C73" w:rsidRDefault="00661D60" w:rsidP="00491382">
            <w:pPr>
              <w:spacing w:after="0"/>
              <w:jc w:val="center"/>
              <w:rPr>
                <w:lang w:val="en-CA" w:eastAsia="zh-CN"/>
              </w:rPr>
            </w:pPr>
          </w:p>
        </w:tc>
        <w:tc>
          <w:tcPr>
            <w:tcW w:w="4111" w:type="dxa"/>
            <w:shd w:val="clear" w:color="auto" w:fill="auto"/>
          </w:tcPr>
          <w:p w:rsidR="00661D60" w:rsidRPr="00862C73" w:rsidRDefault="00661D60" w:rsidP="006A6FBE">
            <w:pPr>
              <w:spacing w:after="0"/>
              <w:rPr>
                <w:lang w:val="en-CA" w:eastAsia="zh-CN"/>
              </w:rPr>
            </w:pP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eastAsia="zh-CN"/>
              </w:rPr>
            </w:pPr>
            <w:r w:rsidRPr="00862C73">
              <w:rPr>
                <w:lang w:val="en-CA" w:eastAsia="zh-CN"/>
              </w:rPr>
              <w:t>Consecutive subframes used</w:t>
            </w:r>
          </w:p>
        </w:tc>
        <w:tc>
          <w:tcPr>
            <w:tcW w:w="2409" w:type="dxa"/>
            <w:shd w:val="clear" w:color="auto" w:fill="auto"/>
          </w:tcPr>
          <w:p w:rsidR="00661D60" w:rsidRPr="00862C73" w:rsidRDefault="00661D60" w:rsidP="00491382">
            <w:pPr>
              <w:spacing w:after="0"/>
              <w:jc w:val="center"/>
              <w:rPr>
                <w:lang w:val="en-CA" w:eastAsia="zh-CN"/>
              </w:rPr>
            </w:pPr>
            <w:r w:rsidRPr="00862C73">
              <w:rPr>
                <w:lang w:val="en-CA" w:eastAsia="zh-CN"/>
              </w:rPr>
              <w:t>2</w:t>
            </w:r>
          </w:p>
        </w:tc>
        <w:tc>
          <w:tcPr>
            <w:tcW w:w="4111" w:type="dxa"/>
            <w:shd w:val="clear" w:color="auto" w:fill="auto"/>
          </w:tcPr>
          <w:p w:rsidR="00661D60" w:rsidRPr="00862C73" w:rsidRDefault="00661D60" w:rsidP="00491382">
            <w:pPr>
              <w:spacing w:after="0"/>
              <w:jc w:val="center"/>
              <w:rPr>
                <w:lang w:val="en-CA" w:eastAsia="zh-CN"/>
              </w:rPr>
            </w:pP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L3 filtering</w:t>
            </w:r>
          </w:p>
        </w:tc>
        <w:tc>
          <w:tcPr>
            <w:tcW w:w="2409" w:type="dxa"/>
            <w:shd w:val="clear" w:color="auto" w:fill="auto"/>
          </w:tcPr>
          <w:p w:rsidR="00661D60" w:rsidRPr="00862C73" w:rsidRDefault="00661D60" w:rsidP="00491382">
            <w:pPr>
              <w:spacing w:after="0"/>
              <w:jc w:val="center"/>
              <w:rPr>
                <w:lang w:val="en-CA"/>
              </w:rPr>
            </w:pPr>
            <w:r w:rsidRPr="00862C73">
              <w:rPr>
                <w:lang w:val="en-CA"/>
              </w:rPr>
              <w:t>Disabled</w:t>
            </w:r>
          </w:p>
        </w:tc>
        <w:tc>
          <w:tcPr>
            <w:tcW w:w="4111" w:type="dxa"/>
            <w:shd w:val="clear" w:color="auto" w:fill="auto"/>
          </w:tcPr>
          <w:p w:rsidR="00661D60" w:rsidRPr="00862C73" w:rsidRDefault="00661D60" w:rsidP="00491382">
            <w:pPr>
              <w:spacing w:after="0"/>
              <w:rPr>
                <w:lang w:val="en-CA"/>
              </w:rPr>
            </w:pP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Transmit antennas</w:t>
            </w:r>
          </w:p>
        </w:tc>
        <w:tc>
          <w:tcPr>
            <w:tcW w:w="2409" w:type="dxa"/>
            <w:shd w:val="clear" w:color="auto" w:fill="auto"/>
          </w:tcPr>
          <w:p w:rsidR="00661D60" w:rsidRPr="00862C73" w:rsidRDefault="006A6FBE" w:rsidP="00491382">
            <w:pPr>
              <w:spacing w:after="0"/>
              <w:jc w:val="center"/>
              <w:rPr>
                <w:lang w:val="en-CA"/>
              </w:rPr>
            </w:pPr>
            <w:r>
              <w:rPr>
                <w:lang w:val="en-CA"/>
              </w:rPr>
              <w:t>1</w:t>
            </w:r>
          </w:p>
        </w:tc>
        <w:tc>
          <w:tcPr>
            <w:tcW w:w="4111" w:type="dxa"/>
            <w:shd w:val="clear" w:color="auto" w:fill="auto"/>
          </w:tcPr>
          <w:p w:rsidR="00661D60" w:rsidRPr="00862C73" w:rsidRDefault="006A6FBE" w:rsidP="00491382">
            <w:pPr>
              <w:spacing w:after="0"/>
              <w:rPr>
                <w:lang w:val="en-CA"/>
              </w:rPr>
            </w:pPr>
            <w:r>
              <w:rPr>
                <w:lang w:val="en-CA"/>
              </w:rPr>
              <w:t>One</w:t>
            </w:r>
            <w:r w:rsidR="00433946">
              <w:rPr>
                <w:lang w:val="en-CA"/>
              </w:rPr>
              <w:t xml:space="preserve"> TX port</w:t>
            </w:r>
            <w:r>
              <w:rPr>
                <w:lang w:val="en-CA"/>
              </w:rPr>
              <w:t xml:space="preserve"> only</w:t>
            </w: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Receive antennas</w:t>
            </w:r>
          </w:p>
        </w:tc>
        <w:tc>
          <w:tcPr>
            <w:tcW w:w="2409" w:type="dxa"/>
            <w:shd w:val="clear" w:color="auto" w:fill="auto"/>
          </w:tcPr>
          <w:p w:rsidR="00661D60" w:rsidRPr="00862C73" w:rsidRDefault="00A37A7F" w:rsidP="00491382">
            <w:pPr>
              <w:spacing w:after="0"/>
              <w:jc w:val="center"/>
              <w:rPr>
                <w:lang w:val="en-CA"/>
              </w:rPr>
            </w:pPr>
            <w:r>
              <w:rPr>
                <w:lang w:val="en-CA"/>
              </w:rPr>
              <w:t>1</w:t>
            </w:r>
            <w:r w:rsidR="0046636B">
              <w:rPr>
                <w:lang w:val="en-CA"/>
              </w:rPr>
              <w:t>, 2</w:t>
            </w:r>
          </w:p>
        </w:tc>
        <w:tc>
          <w:tcPr>
            <w:tcW w:w="4111" w:type="dxa"/>
            <w:shd w:val="clear" w:color="auto" w:fill="auto"/>
          </w:tcPr>
          <w:p w:rsidR="00661D60" w:rsidRPr="00862C73" w:rsidRDefault="0046636B" w:rsidP="00491382">
            <w:pPr>
              <w:spacing w:after="0"/>
              <w:rPr>
                <w:lang w:val="en-CA"/>
              </w:rPr>
            </w:pPr>
            <w:r>
              <w:rPr>
                <w:lang w:val="en-CA"/>
              </w:rPr>
              <w:t>One and two Rx branches, respectively</w:t>
            </w:r>
          </w:p>
        </w:tc>
      </w:tr>
      <w:tr w:rsidR="00661D60" w:rsidRPr="00862C73" w:rsidTr="00491382">
        <w:trPr>
          <w:jc w:val="center"/>
        </w:trPr>
        <w:tc>
          <w:tcPr>
            <w:tcW w:w="2694" w:type="dxa"/>
            <w:shd w:val="clear" w:color="auto" w:fill="auto"/>
          </w:tcPr>
          <w:p w:rsidR="006A6FBE" w:rsidRDefault="00661D60" w:rsidP="00491382">
            <w:pPr>
              <w:spacing w:after="0"/>
              <w:rPr>
                <w:lang w:val="en-CA"/>
              </w:rPr>
            </w:pPr>
            <w:r w:rsidRPr="00862C73">
              <w:rPr>
                <w:lang w:val="en-CA"/>
              </w:rPr>
              <w:t>Propagation conditions</w:t>
            </w:r>
          </w:p>
          <w:p w:rsidR="00661D60" w:rsidRPr="00862C73" w:rsidRDefault="006A6FBE" w:rsidP="00491382">
            <w:pPr>
              <w:spacing w:after="0"/>
              <w:rPr>
                <w:lang w:val="en-CA"/>
              </w:rPr>
            </w:pPr>
            <w:r>
              <w:rPr>
                <w:lang w:val="en-CA"/>
              </w:rPr>
              <w:t>CE mode B</w:t>
            </w:r>
          </w:p>
        </w:tc>
        <w:tc>
          <w:tcPr>
            <w:tcW w:w="2409" w:type="dxa"/>
            <w:shd w:val="clear" w:color="auto" w:fill="auto"/>
          </w:tcPr>
          <w:p w:rsidR="00661D60" w:rsidRPr="00862C73" w:rsidRDefault="006A6FBE" w:rsidP="006A6FBE">
            <w:pPr>
              <w:spacing w:after="0"/>
              <w:rPr>
                <w:lang w:val="en-CA" w:eastAsia="zh-CN"/>
              </w:rPr>
            </w:pPr>
            <w:r>
              <w:rPr>
                <w:lang w:val="en-CA"/>
              </w:rPr>
              <w:t>AWGN, ETU 1, EPA 1Hz</w:t>
            </w:r>
          </w:p>
        </w:tc>
        <w:tc>
          <w:tcPr>
            <w:tcW w:w="4111" w:type="dxa"/>
            <w:shd w:val="clear" w:color="auto" w:fill="auto"/>
          </w:tcPr>
          <w:p w:rsidR="00661D60" w:rsidRPr="00862C73" w:rsidRDefault="006A6FBE" w:rsidP="00491382">
            <w:pPr>
              <w:spacing w:after="0"/>
              <w:rPr>
                <w:lang w:val="en-CA"/>
              </w:rPr>
            </w:pPr>
            <w:r>
              <w:rPr>
                <w:lang w:val="en-CA"/>
              </w:rPr>
              <w:t xml:space="preserve">Range: -15 </w:t>
            </w:r>
            <w:r>
              <w:rPr>
                <w:rFonts w:ascii="Calibri" w:hAnsi="Calibri"/>
                <w:lang w:val="en-CA"/>
              </w:rPr>
              <w:t xml:space="preserve">≤ </w:t>
            </w:r>
            <w:r>
              <w:rPr>
                <w:lang w:val="en-CA"/>
              </w:rPr>
              <w:t xml:space="preserve"> Ês/Iot </w:t>
            </w:r>
            <w:r w:rsidR="00433946">
              <w:rPr>
                <w:rFonts w:ascii="Calibri" w:hAnsi="Calibri"/>
                <w:lang w:val="en-CA"/>
              </w:rPr>
              <w:t>&lt;</w:t>
            </w:r>
            <w:r>
              <w:rPr>
                <w:lang w:val="en-CA"/>
              </w:rPr>
              <w:t xml:space="preserve"> -6 dB</w:t>
            </w: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CP length</w:t>
            </w:r>
          </w:p>
        </w:tc>
        <w:tc>
          <w:tcPr>
            <w:tcW w:w="2409" w:type="dxa"/>
            <w:shd w:val="clear" w:color="auto" w:fill="auto"/>
          </w:tcPr>
          <w:p w:rsidR="00661D60" w:rsidRPr="00862C73" w:rsidRDefault="00661D60" w:rsidP="00491382">
            <w:pPr>
              <w:spacing w:after="0"/>
              <w:jc w:val="center"/>
              <w:rPr>
                <w:lang w:val="en-CA"/>
              </w:rPr>
            </w:pPr>
            <w:r w:rsidRPr="00862C73">
              <w:rPr>
                <w:lang w:val="en-CA"/>
              </w:rPr>
              <w:t>Normal</w:t>
            </w:r>
          </w:p>
        </w:tc>
        <w:tc>
          <w:tcPr>
            <w:tcW w:w="4111" w:type="dxa"/>
            <w:shd w:val="clear" w:color="auto" w:fill="auto"/>
          </w:tcPr>
          <w:p w:rsidR="00661D60" w:rsidRPr="00862C73" w:rsidRDefault="00661D60" w:rsidP="00491382">
            <w:pPr>
              <w:spacing w:after="0"/>
              <w:rPr>
                <w:lang w:val="en-CA"/>
              </w:rPr>
            </w:pP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Carrier frequency</w:t>
            </w:r>
          </w:p>
        </w:tc>
        <w:tc>
          <w:tcPr>
            <w:tcW w:w="2409" w:type="dxa"/>
            <w:shd w:val="clear" w:color="auto" w:fill="auto"/>
          </w:tcPr>
          <w:p w:rsidR="00661D60" w:rsidRPr="00862C73" w:rsidRDefault="00661D60" w:rsidP="00491382">
            <w:pPr>
              <w:spacing w:after="0"/>
              <w:jc w:val="center"/>
              <w:rPr>
                <w:lang w:val="en-CA"/>
              </w:rPr>
            </w:pPr>
            <w:r w:rsidRPr="00862C73">
              <w:rPr>
                <w:lang w:val="en-CA"/>
              </w:rPr>
              <w:t>2 GHz</w:t>
            </w:r>
          </w:p>
        </w:tc>
        <w:tc>
          <w:tcPr>
            <w:tcW w:w="4111" w:type="dxa"/>
            <w:shd w:val="clear" w:color="auto" w:fill="auto"/>
          </w:tcPr>
          <w:p w:rsidR="00661D60" w:rsidRPr="00862C73" w:rsidRDefault="00661D60" w:rsidP="00491382">
            <w:pPr>
              <w:spacing w:after="0"/>
              <w:rPr>
                <w:lang w:val="en-CA"/>
              </w:rPr>
            </w:pPr>
          </w:p>
        </w:tc>
      </w:tr>
      <w:tr w:rsidR="00661D60" w:rsidRPr="00862C73" w:rsidTr="00491382">
        <w:trPr>
          <w:jc w:val="center"/>
        </w:trPr>
        <w:tc>
          <w:tcPr>
            <w:tcW w:w="2694" w:type="dxa"/>
            <w:shd w:val="clear" w:color="auto" w:fill="auto"/>
          </w:tcPr>
          <w:p w:rsidR="00661D60" w:rsidRPr="00862C73" w:rsidRDefault="000C1298" w:rsidP="00491382">
            <w:pPr>
              <w:spacing w:after="0"/>
              <w:rPr>
                <w:lang w:val="en-CA"/>
              </w:rPr>
            </w:pPr>
            <w:r w:rsidRPr="00862C73">
              <w:rPr>
                <w:lang w:val="en-CA"/>
              </w:rPr>
              <w:t>Residual CFO</w:t>
            </w:r>
          </w:p>
        </w:tc>
        <w:tc>
          <w:tcPr>
            <w:tcW w:w="2409" w:type="dxa"/>
            <w:shd w:val="clear" w:color="auto" w:fill="auto"/>
          </w:tcPr>
          <w:p w:rsidR="00661D60" w:rsidRPr="00862C73" w:rsidRDefault="000C1298" w:rsidP="00491382">
            <w:pPr>
              <w:spacing w:after="0"/>
              <w:jc w:val="center"/>
              <w:rPr>
                <w:lang w:val="en-CA" w:eastAsia="zh-CN"/>
              </w:rPr>
            </w:pPr>
            <w:r w:rsidRPr="00862C73">
              <w:rPr>
                <w:lang w:val="en-CA" w:eastAsia="zh-CN"/>
              </w:rPr>
              <w:t>50Hz</w:t>
            </w:r>
          </w:p>
        </w:tc>
        <w:tc>
          <w:tcPr>
            <w:tcW w:w="4111" w:type="dxa"/>
            <w:shd w:val="clear" w:color="auto" w:fill="auto"/>
          </w:tcPr>
          <w:p w:rsidR="00661D60" w:rsidRPr="00862C73" w:rsidRDefault="00661D60" w:rsidP="00491382">
            <w:pPr>
              <w:spacing w:after="0"/>
              <w:rPr>
                <w:lang w:val="en-CA" w:eastAsia="zh-CN"/>
              </w:rPr>
            </w:pPr>
          </w:p>
        </w:tc>
      </w:tr>
    </w:tbl>
    <w:p w:rsidR="006D35DA" w:rsidRPr="00862C73" w:rsidRDefault="006D35DA" w:rsidP="00F92892">
      <w:pPr>
        <w:rPr>
          <w:sz w:val="22"/>
          <w:lang w:val="en-CA"/>
        </w:rPr>
      </w:pPr>
    </w:p>
    <w:p w:rsidR="00A37A7F" w:rsidRDefault="00865E50" w:rsidP="00DB06E9">
      <w:pPr>
        <w:pStyle w:val="Heading1"/>
        <w:rPr>
          <w:lang w:val="en-CA"/>
        </w:rPr>
      </w:pPr>
      <w:r w:rsidRPr="00862C73">
        <w:rPr>
          <w:lang w:val="en-CA"/>
        </w:rPr>
        <w:t>Simulation results</w:t>
      </w:r>
    </w:p>
    <w:p w:rsidR="00DB06E9" w:rsidRPr="00DB06E9" w:rsidRDefault="00F96893" w:rsidP="00DB06E9">
      <w:pPr>
        <w:rPr>
          <w:lang w:val="en-CA"/>
        </w:rPr>
      </w:pPr>
      <w:r>
        <w:rPr>
          <w:sz w:val="22"/>
          <w:lang w:val="en-CA"/>
        </w:rPr>
        <w:t xml:space="preserve">Simulation results for RSRP and RSRQ accuracy are shown in Appendix and summarized in </w:t>
      </w:r>
      <w:r>
        <w:rPr>
          <w:sz w:val="22"/>
          <w:lang w:val="en-CA"/>
        </w:rPr>
        <w:fldChar w:fldCharType="begin"/>
      </w:r>
      <w:r>
        <w:rPr>
          <w:sz w:val="22"/>
          <w:lang w:val="en-CA"/>
        </w:rPr>
        <w:instrText xml:space="preserve"> REF _Ref489863503 \h </w:instrText>
      </w:r>
      <w:r>
        <w:rPr>
          <w:sz w:val="22"/>
          <w:lang w:val="en-CA"/>
        </w:rPr>
      </w:r>
      <w:r>
        <w:rPr>
          <w:sz w:val="22"/>
          <w:lang w:val="en-CA"/>
        </w:rPr>
        <w:fldChar w:fldCharType="separate"/>
      </w:r>
      <w:r w:rsidR="000C59C6" w:rsidRPr="00DB06E9">
        <w:rPr>
          <w:sz w:val="22"/>
          <w:lang w:val="en-US"/>
        </w:rPr>
        <w:t xml:space="preserve">Table </w:t>
      </w:r>
      <w:r w:rsidR="000C59C6">
        <w:rPr>
          <w:noProof/>
          <w:sz w:val="22"/>
          <w:lang w:val="en-US"/>
        </w:rPr>
        <w:t>2</w:t>
      </w:r>
      <w:r>
        <w:rPr>
          <w:sz w:val="22"/>
          <w:lang w:val="en-CA"/>
        </w:rPr>
        <w:fldChar w:fldCharType="end"/>
      </w:r>
      <w:r>
        <w:rPr>
          <w:sz w:val="22"/>
          <w:lang w:val="en-CA"/>
        </w:rPr>
        <w:t xml:space="preserve"> and </w:t>
      </w:r>
      <w:r>
        <w:rPr>
          <w:sz w:val="22"/>
          <w:lang w:val="en-CA"/>
        </w:rPr>
        <w:fldChar w:fldCharType="begin"/>
      </w:r>
      <w:r>
        <w:rPr>
          <w:sz w:val="22"/>
          <w:lang w:val="en-CA"/>
        </w:rPr>
        <w:instrText xml:space="preserve"> REF _Ref489863505 \h </w:instrText>
      </w:r>
      <w:r>
        <w:rPr>
          <w:sz w:val="22"/>
          <w:lang w:val="en-CA"/>
        </w:rPr>
      </w:r>
      <w:r>
        <w:rPr>
          <w:sz w:val="22"/>
          <w:lang w:val="en-CA"/>
        </w:rPr>
        <w:fldChar w:fldCharType="separate"/>
      </w:r>
      <w:r w:rsidR="000C59C6" w:rsidRPr="00DB06E9">
        <w:rPr>
          <w:sz w:val="22"/>
          <w:lang w:val="en-US"/>
        </w:rPr>
        <w:t xml:space="preserve">Table </w:t>
      </w:r>
      <w:r w:rsidR="000C59C6">
        <w:rPr>
          <w:noProof/>
          <w:sz w:val="22"/>
          <w:lang w:val="en-US"/>
        </w:rPr>
        <w:t>3</w:t>
      </w:r>
      <w:r>
        <w:rPr>
          <w:sz w:val="22"/>
          <w:lang w:val="en-CA"/>
        </w:rPr>
        <w:fldChar w:fldCharType="end"/>
      </w:r>
      <w:r>
        <w:rPr>
          <w:sz w:val="22"/>
          <w:lang w:val="en-CA"/>
        </w:rPr>
        <w:t xml:space="preserve"> below, respectively. The results captured in the tables represent the largest absolute deviations from the ideal </w:t>
      </w:r>
      <w:r w:rsidR="00441DA4">
        <w:rPr>
          <w:sz w:val="22"/>
          <w:lang w:val="en-CA"/>
        </w:rPr>
        <w:t>value over</w:t>
      </w:r>
      <w:r>
        <w:rPr>
          <w:sz w:val="22"/>
          <w:lang w:val="en-CA"/>
        </w:rPr>
        <w:t xml:space="preserve"> the 5</w:t>
      </w:r>
      <w:r w:rsidRPr="00F96893">
        <w:rPr>
          <w:sz w:val="22"/>
          <w:vertAlign w:val="superscript"/>
          <w:lang w:val="en-CA"/>
        </w:rPr>
        <w:t>th</w:t>
      </w:r>
      <w:r>
        <w:rPr>
          <w:sz w:val="22"/>
          <w:lang w:val="en-CA"/>
        </w:rPr>
        <w:t xml:space="preserve"> and 95</w:t>
      </w:r>
      <w:r w:rsidRPr="00F96893">
        <w:rPr>
          <w:sz w:val="22"/>
          <w:vertAlign w:val="superscript"/>
          <w:lang w:val="en-CA"/>
        </w:rPr>
        <w:t>th</w:t>
      </w:r>
      <w:r>
        <w:rPr>
          <w:sz w:val="22"/>
          <w:lang w:val="en-CA"/>
        </w:rPr>
        <w:t xml:space="preserve"> percentiles</w:t>
      </w:r>
      <w:r w:rsidR="00441DA4">
        <w:rPr>
          <w:sz w:val="22"/>
          <w:lang w:val="en-CA"/>
        </w:rPr>
        <w:t xml:space="preserve"> for each simulated operation point.</w:t>
      </w:r>
    </w:p>
    <w:p w:rsidR="00DB06E9" w:rsidRPr="00DB06E9" w:rsidRDefault="00DB06E9" w:rsidP="00DB06E9">
      <w:pPr>
        <w:pStyle w:val="Caption"/>
        <w:keepNext/>
        <w:rPr>
          <w:b w:val="0"/>
          <w:sz w:val="22"/>
          <w:lang w:val="en-US"/>
        </w:rPr>
      </w:pPr>
      <w:bookmarkStart w:id="7" w:name="_Ref489863503"/>
      <w:r w:rsidRPr="00DB06E9">
        <w:rPr>
          <w:sz w:val="22"/>
          <w:lang w:val="en-US"/>
        </w:rPr>
        <w:t xml:space="preserve">Table </w:t>
      </w:r>
      <w:r w:rsidRPr="00DB06E9">
        <w:rPr>
          <w:sz w:val="22"/>
        </w:rPr>
        <w:fldChar w:fldCharType="begin"/>
      </w:r>
      <w:r w:rsidRPr="00DB06E9">
        <w:rPr>
          <w:sz w:val="22"/>
          <w:lang w:val="en-US"/>
        </w:rPr>
        <w:instrText xml:space="preserve"> SEQ Table \* ARABIC </w:instrText>
      </w:r>
      <w:r w:rsidRPr="00DB06E9">
        <w:rPr>
          <w:sz w:val="22"/>
        </w:rPr>
        <w:fldChar w:fldCharType="separate"/>
      </w:r>
      <w:r w:rsidR="000C59C6">
        <w:rPr>
          <w:noProof/>
          <w:sz w:val="22"/>
          <w:lang w:val="en-US"/>
        </w:rPr>
        <w:t>2</w:t>
      </w:r>
      <w:r w:rsidRPr="00DB06E9">
        <w:rPr>
          <w:sz w:val="22"/>
        </w:rPr>
        <w:fldChar w:fldCharType="end"/>
      </w:r>
      <w:bookmarkEnd w:id="7"/>
      <w:r w:rsidRPr="00DB06E9">
        <w:rPr>
          <w:sz w:val="22"/>
          <w:lang w:val="en-US"/>
        </w:rPr>
        <w:t xml:space="preserve">: </w:t>
      </w:r>
      <w:r w:rsidRPr="00DB06E9">
        <w:rPr>
          <w:b w:val="0"/>
          <w:sz w:val="22"/>
          <w:lang w:val="en-US"/>
        </w:rPr>
        <w:t>RSRP maximum absolute deviation from ideal result</w:t>
      </w:r>
    </w:p>
    <w:tbl>
      <w:tblPr>
        <w:tblStyle w:val="TableGrid"/>
        <w:tblW w:w="0" w:type="auto"/>
        <w:jc w:val="center"/>
        <w:tblLook w:val="04A0" w:firstRow="1" w:lastRow="0" w:firstColumn="1" w:lastColumn="0" w:noHBand="0" w:noVBand="1"/>
      </w:tblPr>
      <w:tblGrid>
        <w:gridCol w:w="2407"/>
        <w:gridCol w:w="1203"/>
        <w:gridCol w:w="1204"/>
        <w:gridCol w:w="1203"/>
        <w:gridCol w:w="1204"/>
      </w:tblGrid>
      <w:tr w:rsidR="00A37A7F" w:rsidTr="009015C3">
        <w:trPr>
          <w:jc w:val="center"/>
        </w:trPr>
        <w:tc>
          <w:tcPr>
            <w:tcW w:w="2407" w:type="dxa"/>
          </w:tcPr>
          <w:p w:rsidR="00A37A7F" w:rsidRDefault="00A37A7F" w:rsidP="00A37A7F">
            <w:pPr>
              <w:rPr>
                <w:lang w:val="en-CA"/>
              </w:rPr>
            </w:pPr>
          </w:p>
        </w:tc>
        <w:tc>
          <w:tcPr>
            <w:tcW w:w="4814" w:type="dxa"/>
            <w:gridSpan w:val="4"/>
          </w:tcPr>
          <w:p w:rsidR="00A37A7F" w:rsidRPr="00A37A7F" w:rsidRDefault="00A37A7F" w:rsidP="00A37A7F">
            <w:pPr>
              <w:jc w:val="center"/>
              <w:rPr>
                <w:b/>
                <w:lang w:val="en-CA"/>
              </w:rPr>
            </w:pPr>
            <w:r>
              <w:rPr>
                <w:b/>
                <w:lang w:val="en-CA"/>
              </w:rPr>
              <w:t>RSRP Maximum deviation</w:t>
            </w:r>
            <w:r w:rsidR="0001606F">
              <w:rPr>
                <w:b/>
                <w:lang w:val="en-CA"/>
              </w:rPr>
              <w:t xml:space="preserve"> </w:t>
            </w:r>
            <w:r w:rsidR="00817D11">
              <w:rPr>
                <w:b/>
                <w:lang w:val="en-CA"/>
              </w:rPr>
              <w:t>±</w:t>
            </w:r>
            <w:r w:rsidR="0001606F">
              <w:rPr>
                <w:b/>
                <w:lang w:val="en-CA"/>
              </w:rPr>
              <w:t>[dB]</w:t>
            </w:r>
          </w:p>
        </w:tc>
      </w:tr>
      <w:tr w:rsidR="00A37A7F" w:rsidTr="009015C3">
        <w:trPr>
          <w:jc w:val="center"/>
        </w:trPr>
        <w:tc>
          <w:tcPr>
            <w:tcW w:w="2407" w:type="dxa"/>
          </w:tcPr>
          <w:p w:rsidR="00A37A7F" w:rsidRDefault="00A37A7F" w:rsidP="00A37A7F">
            <w:pPr>
              <w:rPr>
                <w:lang w:val="en-CA"/>
              </w:rPr>
            </w:pPr>
          </w:p>
        </w:tc>
        <w:tc>
          <w:tcPr>
            <w:tcW w:w="4814" w:type="dxa"/>
            <w:gridSpan w:val="4"/>
          </w:tcPr>
          <w:p w:rsidR="00A37A7F" w:rsidRPr="00A37A7F" w:rsidRDefault="00A37A7F" w:rsidP="00A37A7F">
            <w:pPr>
              <w:jc w:val="center"/>
              <w:rPr>
                <w:b/>
                <w:lang w:val="en-CA"/>
              </w:rPr>
            </w:pPr>
            <w:r w:rsidRPr="00A37A7F">
              <w:rPr>
                <w:b/>
                <w:lang w:val="en-CA"/>
              </w:rPr>
              <w:t>SINR range [dB]</w:t>
            </w:r>
          </w:p>
        </w:tc>
      </w:tr>
      <w:tr w:rsidR="00A37A7F" w:rsidTr="009015C3">
        <w:trPr>
          <w:jc w:val="center"/>
        </w:trPr>
        <w:tc>
          <w:tcPr>
            <w:tcW w:w="2407" w:type="dxa"/>
          </w:tcPr>
          <w:p w:rsidR="00A37A7F" w:rsidRDefault="00A37A7F" w:rsidP="00A37A7F">
            <w:pPr>
              <w:rPr>
                <w:lang w:val="en-CA"/>
              </w:rPr>
            </w:pPr>
          </w:p>
        </w:tc>
        <w:tc>
          <w:tcPr>
            <w:tcW w:w="2407" w:type="dxa"/>
            <w:gridSpan w:val="2"/>
          </w:tcPr>
          <w:p w:rsidR="00A37A7F" w:rsidRPr="00A37A7F" w:rsidRDefault="00A37A7F" w:rsidP="00A37A7F">
            <w:pPr>
              <w:jc w:val="center"/>
              <w:rPr>
                <w:b/>
                <w:lang w:val="en-CA"/>
              </w:rPr>
            </w:pPr>
            <w:r w:rsidRPr="00A37A7F">
              <w:rPr>
                <w:b/>
                <w:lang w:val="en-CA"/>
              </w:rPr>
              <w:t xml:space="preserve">-15 </w:t>
            </w:r>
            <w:r w:rsidR="00C971AE" w:rsidRPr="00A37A7F">
              <w:rPr>
                <w:b/>
                <w:lang w:val="en-CA"/>
              </w:rPr>
              <w:t>≤</w:t>
            </w:r>
            <w:r w:rsidR="00B92B89">
              <w:rPr>
                <w:b/>
                <w:lang w:val="en-CA"/>
              </w:rPr>
              <w:t xml:space="preserve"> Ê</w:t>
            </w:r>
            <w:r w:rsidRPr="00A37A7F">
              <w:rPr>
                <w:b/>
                <w:lang w:val="en-CA"/>
              </w:rPr>
              <w:t xml:space="preserve">s/Iot </w:t>
            </w:r>
            <w:r w:rsidR="00C971AE">
              <w:rPr>
                <w:b/>
                <w:lang w:val="en-CA"/>
              </w:rPr>
              <w:t>&lt;</w:t>
            </w:r>
            <w:r w:rsidRPr="00A37A7F">
              <w:rPr>
                <w:b/>
                <w:lang w:val="en-CA"/>
              </w:rPr>
              <w:t xml:space="preserve"> -12</w:t>
            </w:r>
          </w:p>
        </w:tc>
        <w:tc>
          <w:tcPr>
            <w:tcW w:w="2407" w:type="dxa"/>
            <w:gridSpan w:val="2"/>
          </w:tcPr>
          <w:p w:rsidR="00A37A7F" w:rsidRPr="00A37A7F" w:rsidRDefault="00C971AE" w:rsidP="00A37A7F">
            <w:pPr>
              <w:jc w:val="center"/>
              <w:rPr>
                <w:b/>
                <w:lang w:val="en-CA"/>
              </w:rPr>
            </w:pPr>
            <w:r>
              <w:rPr>
                <w:b/>
                <w:lang w:val="en-CA"/>
              </w:rPr>
              <w:t xml:space="preserve">-12 </w:t>
            </w:r>
            <w:r w:rsidRPr="00A37A7F">
              <w:rPr>
                <w:b/>
                <w:lang w:val="en-CA"/>
              </w:rPr>
              <w:t>≤</w:t>
            </w:r>
            <w:r w:rsidR="00B92B89">
              <w:rPr>
                <w:b/>
                <w:lang w:val="en-CA"/>
              </w:rPr>
              <w:t xml:space="preserve"> Ê</w:t>
            </w:r>
            <w:r w:rsidR="00A37A7F" w:rsidRPr="00A37A7F">
              <w:rPr>
                <w:b/>
                <w:lang w:val="en-CA"/>
              </w:rPr>
              <w:t xml:space="preserve">s/Iot </w:t>
            </w:r>
            <w:r>
              <w:rPr>
                <w:b/>
                <w:lang w:val="en-CA"/>
              </w:rPr>
              <w:t>&lt;</w:t>
            </w:r>
            <w:r w:rsidR="00A37A7F" w:rsidRPr="00A37A7F">
              <w:rPr>
                <w:b/>
                <w:lang w:val="en-CA"/>
              </w:rPr>
              <w:t xml:space="preserve"> -6</w:t>
            </w:r>
          </w:p>
        </w:tc>
      </w:tr>
      <w:tr w:rsidR="005E3AF6" w:rsidTr="009015C3">
        <w:trPr>
          <w:jc w:val="center"/>
        </w:trPr>
        <w:tc>
          <w:tcPr>
            <w:tcW w:w="2407" w:type="dxa"/>
          </w:tcPr>
          <w:p w:rsidR="005E3AF6" w:rsidRDefault="005E3AF6" w:rsidP="00A37A7F">
            <w:pPr>
              <w:rPr>
                <w:lang w:val="en-CA"/>
              </w:rPr>
            </w:pPr>
          </w:p>
        </w:tc>
        <w:tc>
          <w:tcPr>
            <w:tcW w:w="4814" w:type="dxa"/>
            <w:gridSpan w:val="4"/>
          </w:tcPr>
          <w:p w:rsidR="005E3AF6" w:rsidRDefault="005E3AF6" w:rsidP="00A37A7F">
            <w:pPr>
              <w:jc w:val="center"/>
              <w:rPr>
                <w:b/>
                <w:lang w:val="en-CA"/>
              </w:rPr>
            </w:pPr>
            <w:r>
              <w:rPr>
                <w:b/>
                <w:lang w:val="en-CA"/>
              </w:rPr>
              <w:t>RX branches</w:t>
            </w:r>
          </w:p>
        </w:tc>
      </w:tr>
      <w:tr w:rsidR="005E3AF6" w:rsidTr="009015C3">
        <w:trPr>
          <w:jc w:val="center"/>
        </w:trPr>
        <w:tc>
          <w:tcPr>
            <w:tcW w:w="2407" w:type="dxa"/>
          </w:tcPr>
          <w:p w:rsidR="005E3AF6" w:rsidRDefault="005E3AF6" w:rsidP="00A37A7F">
            <w:pPr>
              <w:rPr>
                <w:lang w:val="en-CA"/>
              </w:rPr>
            </w:pPr>
          </w:p>
        </w:tc>
        <w:tc>
          <w:tcPr>
            <w:tcW w:w="1203" w:type="dxa"/>
          </w:tcPr>
          <w:p w:rsidR="005E3AF6" w:rsidRPr="005E3AF6" w:rsidRDefault="005E3AF6" w:rsidP="00A37A7F">
            <w:pPr>
              <w:jc w:val="center"/>
              <w:rPr>
                <w:b/>
                <w:lang w:val="en-CA"/>
              </w:rPr>
            </w:pPr>
            <w:r w:rsidRPr="005E3AF6">
              <w:rPr>
                <w:b/>
                <w:lang w:val="en-CA"/>
              </w:rPr>
              <w:t>1</w:t>
            </w:r>
          </w:p>
        </w:tc>
        <w:tc>
          <w:tcPr>
            <w:tcW w:w="1204" w:type="dxa"/>
          </w:tcPr>
          <w:p w:rsidR="005E3AF6" w:rsidRPr="005E3AF6" w:rsidRDefault="005E3AF6" w:rsidP="00A37A7F">
            <w:pPr>
              <w:jc w:val="center"/>
              <w:rPr>
                <w:b/>
                <w:lang w:val="en-CA"/>
              </w:rPr>
            </w:pPr>
            <w:r w:rsidRPr="005E3AF6">
              <w:rPr>
                <w:b/>
                <w:lang w:val="en-CA"/>
              </w:rPr>
              <w:t>2</w:t>
            </w:r>
          </w:p>
        </w:tc>
        <w:tc>
          <w:tcPr>
            <w:tcW w:w="1203" w:type="dxa"/>
          </w:tcPr>
          <w:p w:rsidR="005E3AF6" w:rsidRPr="005E3AF6" w:rsidRDefault="005E3AF6" w:rsidP="00A37A7F">
            <w:pPr>
              <w:jc w:val="center"/>
              <w:rPr>
                <w:b/>
                <w:lang w:val="en-CA"/>
              </w:rPr>
            </w:pPr>
            <w:r w:rsidRPr="005E3AF6">
              <w:rPr>
                <w:b/>
                <w:lang w:val="en-CA"/>
              </w:rPr>
              <w:t>1</w:t>
            </w:r>
          </w:p>
        </w:tc>
        <w:tc>
          <w:tcPr>
            <w:tcW w:w="1204" w:type="dxa"/>
          </w:tcPr>
          <w:p w:rsidR="005E3AF6" w:rsidRPr="005E3AF6" w:rsidRDefault="005E3AF6" w:rsidP="00A37A7F">
            <w:pPr>
              <w:jc w:val="center"/>
              <w:rPr>
                <w:b/>
                <w:lang w:val="en-CA"/>
              </w:rPr>
            </w:pPr>
            <w:r w:rsidRPr="005E3AF6">
              <w:rPr>
                <w:b/>
                <w:lang w:val="en-CA"/>
              </w:rPr>
              <w:t>2</w:t>
            </w:r>
          </w:p>
        </w:tc>
      </w:tr>
      <w:tr w:rsidR="005E3AF6" w:rsidTr="009015C3">
        <w:trPr>
          <w:jc w:val="center"/>
        </w:trPr>
        <w:tc>
          <w:tcPr>
            <w:tcW w:w="2407" w:type="dxa"/>
          </w:tcPr>
          <w:p w:rsidR="005E3AF6" w:rsidRDefault="005E3AF6" w:rsidP="00A37A7F">
            <w:pPr>
              <w:rPr>
                <w:lang w:val="en-CA"/>
              </w:rPr>
            </w:pPr>
            <w:r>
              <w:rPr>
                <w:lang w:val="en-CA"/>
              </w:rPr>
              <w:t>AWGN</w:t>
            </w:r>
          </w:p>
        </w:tc>
        <w:tc>
          <w:tcPr>
            <w:tcW w:w="1203" w:type="dxa"/>
          </w:tcPr>
          <w:p w:rsidR="005E3AF6" w:rsidRDefault="009B4A9B" w:rsidP="00A37A7F">
            <w:pPr>
              <w:jc w:val="center"/>
              <w:rPr>
                <w:lang w:val="en-CA"/>
              </w:rPr>
            </w:pPr>
            <w:r>
              <w:rPr>
                <w:lang w:val="en-CA"/>
              </w:rPr>
              <w:t>2.2</w:t>
            </w:r>
          </w:p>
        </w:tc>
        <w:tc>
          <w:tcPr>
            <w:tcW w:w="1204" w:type="dxa"/>
          </w:tcPr>
          <w:p w:rsidR="005E3AF6" w:rsidRDefault="009B4A9B" w:rsidP="00A37A7F">
            <w:pPr>
              <w:jc w:val="center"/>
              <w:rPr>
                <w:lang w:val="en-CA"/>
              </w:rPr>
            </w:pPr>
            <w:r>
              <w:rPr>
                <w:lang w:val="en-CA"/>
              </w:rPr>
              <w:t>2.4</w:t>
            </w:r>
          </w:p>
        </w:tc>
        <w:tc>
          <w:tcPr>
            <w:tcW w:w="1203" w:type="dxa"/>
          </w:tcPr>
          <w:p w:rsidR="005E3AF6" w:rsidRDefault="009B4A9B" w:rsidP="00A37A7F">
            <w:pPr>
              <w:jc w:val="center"/>
              <w:rPr>
                <w:lang w:val="en-CA"/>
              </w:rPr>
            </w:pPr>
            <w:r>
              <w:rPr>
                <w:lang w:val="en-CA"/>
              </w:rPr>
              <w:t>1.3</w:t>
            </w:r>
          </w:p>
        </w:tc>
        <w:tc>
          <w:tcPr>
            <w:tcW w:w="1204" w:type="dxa"/>
          </w:tcPr>
          <w:p w:rsidR="005E3AF6" w:rsidRDefault="009B4A9B" w:rsidP="00A37A7F">
            <w:pPr>
              <w:jc w:val="center"/>
              <w:rPr>
                <w:lang w:val="en-CA"/>
              </w:rPr>
            </w:pPr>
            <w:r>
              <w:rPr>
                <w:lang w:val="en-CA"/>
              </w:rPr>
              <w:t>1.5</w:t>
            </w:r>
          </w:p>
        </w:tc>
      </w:tr>
      <w:tr w:rsidR="005E3AF6" w:rsidTr="009015C3">
        <w:trPr>
          <w:jc w:val="center"/>
        </w:trPr>
        <w:tc>
          <w:tcPr>
            <w:tcW w:w="2407" w:type="dxa"/>
          </w:tcPr>
          <w:p w:rsidR="005E3AF6" w:rsidRDefault="005E3AF6" w:rsidP="00A37A7F">
            <w:pPr>
              <w:rPr>
                <w:lang w:val="en-CA"/>
              </w:rPr>
            </w:pPr>
            <w:r>
              <w:rPr>
                <w:lang w:val="en-CA"/>
              </w:rPr>
              <w:t>ETU1</w:t>
            </w:r>
          </w:p>
        </w:tc>
        <w:tc>
          <w:tcPr>
            <w:tcW w:w="1203" w:type="dxa"/>
          </w:tcPr>
          <w:p w:rsidR="005E3AF6" w:rsidRDefault="009B4A9B" w:rsidP="0001606F">
            <w:pPr>
              <w:jc w:val="center"/>
              <w:rPr>
                <w:lang w:val="en-CA"/>
              </w:rPr>
            </w:pPr>
            <w:r>
              <w:rPr>
                <w:lang w:val="en-CA"/>
              </w:rPr>
              <w:t>4.1</w:t>
            </w:r>
          </w:p>
        </w:tc>
        <w:tc>
          <w:tcPr>
            <w:tcW w:w="1204" w:type="dxa"/>
          </w:tcPr>
          <w:p w:rsidR="005E3AF6" w:rsidRDefault="009B4A9B" w:rsidP="0001606F">
            <w:pPr>
              <w:jc w:val="center"/>
              <w:rPr>
                <w:lang w:val="en-CA"/>
              </w:rPr>
            </w:pPr>
            <w:r>
              <w:rPr>
                <w:lang w:val="en-CA"/>
              </w:rPr>
              <w:t>3.1</w:t>
            </w:r>
          </w:p>
        </w:tc>
        <w:tc>
          <w:tcPr>
            <w:tcW w:w="1203" w:type="dxa"/>
          </w:tcPr>
          <w:p w:rsidR="005E3AF6" w:rsidRDefault="009B4A9B" w:rsidP="0001606F">
            <w:pPr>
              <w:jc w:val="center"/>
              <w:rPr>
                <w:lang w:val="en-CA"/>
              </w:rPr>
            </w:pPr>
            <w:r>
              <w:rPr>
                <w:lang w:val="en-CA"/>
              </w:rPr>
              <w:t>5.5</w:t>
            </w:r>
          </w:p>
        </w:tc>
        <w:tc>
          <w:tcPr>
            <w:tcW w:w="1204" w:type="dxa"/>
          </w:tcPr>
          <w:p w:rsidR="005E3AF6" w:rsidRDefault="009B4A9B" w:rsidP="0001606F">
            <w:pPr>
              <w:jc w:val="center"/>
              <w:rPr>
                <w:lang w:val="en-CA"/>
              </w:rPr>
            </w:pPr>
            <w:r>
              <w:rPr>
                <w:lang w:val="en-CA"/>
              </w:rPr>
              <w:t>3.3</w:t>
            </w:r>
          </w:p>
        </w:tc>
      </w:tr>
      <w:tr w:rsidR="005E3AF6" w:rsidTr="009015C3">
        <w:trPr>
          <w:jc w:val="center"/>
        </w:trPr>
        <w:tc>
          <w:tcPr>
            <w:tcW w:w="2407" w:type="dxa"/>
          </w:tcPr>
          <w:p w:rsidR="005E3AF6" w:rsidRDefault="005E3AF6" w:rsidP="0001606F">
            <w:pPr>
              <w:rPr>
                <w:lang w:val="en-CA"/>
              </w:rPr>
            </w:pPr>
            <w:r>
              <w:rPr>
                <w:lang w:val="en-CA"/>
              </w:rPr>
              <w:lastRenderedPageBreak/>
              <w:t>EPA1</w:t>
            </w:r>
          </w:p>
        </w:tc>
        <w:tc>
          <w:tcPr>
            <w:tcW w:w="1203" w:type="dxa"/>
          </w:tcPr>
          <w:p w:rsidR="005E3AF6" w:rsidRDefault="009B4A9B" w:rsidP="0001606F">
            <w:pPr>
              <w:jc w:val="center"/>
              <w:rPr>
                <w:lang w:val="en-CA"/>
              </w:rPr>
            </w:pPr>
            <w:r>
              <w:rPr>
                <w:lang w:val="en-CA"/>
              </w:rPr>
              <w:t>3.4</w:t>
            </w:r>
          </w:p>
        </w:tc>
        <w:tc>
          <w:tcPr>
            <w:tcW w:w="1204" w:type="dxa"/>
          </w:tcPr>
          <w:p w:rsidR="005E3AF6" w:rsidRDefault="009B4A9B" w:rsidP="0001606F">
            <w:pPr>
              <w:jc w:val="center"/>
              <w:rPr>
                <w:lang w:val="en-CA"/>
              </w:rPr>
            </w:pPr>
            <w:r>
              <w:rPr>
                <w:lang w:val="en-CA"/>
              </w:rPr>
              <w:t>3.9</w:t>
            </w:r>
          </w:p>
        </w:tc>
        <w:tc>
          <w:tcPr>
            <w:tcW w:w="1203" w:type="dxa"/>
          </w:tcPr>
          <w:p w:rsidR="005E3AF6" w:rsidRDefault="009B4A9B" w:rsidP="0001606F">
            <w:pPr>
              <w:jc w:val="center"/>
              <w:rPr>
                <w:lang w:val="en-CA"/>
              </w:rPr>
            </w:pPr>
            <w:r>
              <w:rPr>
                <w:lang w:val="en-CA"/>
              </w:rPr>
              <w:t>4.2</w:t>
            </w:r>
          </w:p>
        </w:tc>
        <w:tc>
          <w:tcPr>
            <w:tcW w:w="1204" w:type="dxa"/>
          </w:tcPr>
          <w:p w:rsidR="005E3AF6" w:rsidRDefault="009B4A9B" w:rsidP="0001606F">
            <w:pPr>
              <w:jc w:val="center"/>
              <w:rPr>
                <w:lang w:val="en-CA"/>
              </w:rPr>
            </w:pPr>
            <w:r>
              <w:rPr>
                <w:lang w:val="en-CA"/>
              </w:rPr>
              <w:t>3.8</w:t>
            </w:r>
          </w:p>
        </w:tc>
      </w:tr>
      <w:tr w:rsidR="005E3AF6" w:rsidTr="009015C3">
        <w:trPr>
          <w:jc w:val="center"/>
        </w:trPr>
        <w:tc>
          <w:tcPr>
            <w:tcW w:w="2407" w:type="dxa"/>
          </w:tcPr>
          <w:p w:rsidR="005E3AF6" w:rsidRPr="0001606F" w:rsidRDefault="005E3AF6" w:rsidP="00A37A7F">
            <w:pPr>
              <w:rPr>
                <w:b/>
                <w:lang w:val="en-CA"/>
              </w:rPr>
            </w:pPr>
            <w:r>
              <w:rPr>
                <w:b/>
                <w:lang w:val="en-CA"/>
              </w:rPr>
              <w:t>Largest deviation</w:t>
            </w:r>
          </w:p>
        </w:tc>
        <w:tc>
          <w:tcPr>
            <w:tcW w:w="1203" w:type="dxa"/>
          </w:tcPr>
          <w:p w:rsidR="005E3AF6" w:rsidRPr="0001606F" w:rsidRDefault="00DB06E9" w:rsidP="0001606F">
            <w:pPr>
              <w:jc w:val="center"/>
              <w:rPr>
                <w:b/>
                <w:lang w:val="en-CA"/>
              </w:rPr>
            </w:pPr>
            <w:r>
              <w:rPr>
                <w:b/>
                <w:lang w:val="en-CA"/>
              </w:rPr>
              <w:t>4.1</w:t>
            </w:r>
          </w:p>
        </w:tc>
        <w:tc>
          <w:tcPr>
            <w:tcW w:w="1204" w:type="dxa"/>
          </w:tcPr>
          <w:p w:rsidR="005E3AF6" w:rsidRPr="0001606F" w:rsidRDefault="00DB06E9" w:rsidP="0001606F">
            <w:pPr>
              <w:jc w:val="center"/>
              <w:rPr>
                <w:b/>
                <w:lang w:val="en-CA"/>
              </w:rPr>
            </w:pPr>
            <w:r>
              <w:rPr>
                <w:b/>
                <w:lang w:val="en-CA"/>
              </w:rPr>
              <w:t>3.9</w:t>
            </w:r>
          </w:p>
        </w:tc>
        <w:tc>
          <w:tcPr>
            <w:tcW w:w="1203" w:type="dxa"/>
          </w:tcPr>
          <w:p w:rsidR="005E3AF6" w:rsidRPr="0001606F" w:rsidRDefault="00DB06E9" w:rsidP="0001606F">
            <w:pPr>
              <w:jc w:val="center"/>
              <w:rPr>
                <w:b/>
                <w:lang w:val="en-CA"/>
              </w:rPr>
            </w:pPr>
            <w:r>
              <w:rPr>
                <w:b/>
                <w:lang w:val="en-CA"/>
              </w:rPr>
              <w:t>5.5</w:t>
            </w:r>
          </w:p>
        </w:tc>
        <w:tc>
          <w:tcPr>
            <w:tcW w:w="1204" w:type="dxa"/>
          </w:tcPr>
          <w:p w:rsidR="005E3AF6" w:rsidRPr="0001606F" w:rsidRDefault="00DB06E9" w:rsidP="0001606F">
            <w:pPr>
              <w:jc w:val="center"/>
              <w:rPr>
                <w:b/>
                <w:lang w:val="en-CA"/>
              </w:rPr>
            </w:pPr>
            <w:r>
              <w:rPr>
                <w:b/>
                <w:lang w:val="en-CA"/>
              </w:rPr>
              <w:t>3.8</w:t>
            </w:r>
          </w:p>
        </w:tc>
      </w:tr>
    </w:tbl>
    <w:p w:rsidR="00A37A7F" w:rsidRPr="00A37A7F" w:rsidRDefault="00A37A7F" w:rsidP="00A37A7F">
      <w:pPr>
        <w:rPr>
          <w:lang w:val="en-CA"/>
        </w:rPr>
      </w:pPr>
    </w:p>
    <w:p w:rsidR="00DB06E9" w:rsidRPr="00DB06E9" w:rsidRDefault="00DB06E9" w:rsidP="00DB06E9">
      <w:pPr>
        <w:pStyle w:val="Caption"/>
        <w:keepNext/>
        <w:rPr>
          <w:sz w:val="22"/>
          <w:lang w:val="en-US"/>
        </w:rPr>
      </w:pPr>
      <w:bookmarkStart w:id="8" w:name="_Ref489863505"/>
      <w:r w:rsidRPr="00DB06E9">
        <w:rPr>
          <w:sz w:val="22"/>
          <w:lang w:val="en-US"/>
        </w:rPr>
        <w:t xml:space="preserve">Table </w:t>
      </w:r>
      <w:r w:rsidRPr="00DB06E9">
        <w:rPr>
          <w:sz w:val="22"/>
        </w:rPr>
        <w:fldChar w:fldCharType="begin"/>
      </w:r>
      <w:r w:rsidRPr="00DB06E9">
        <w:rPr>
          <w:sz w:val="22"/>
          <w:lang w:val="en-US"/>
        </w:rPr>
        <w:instrText xml:space="preserve"> SEQ Table \* ARABIC </w:instrText>
      </w:r>
      <w:r w:rsidRPr="00DB06E9">
        <w:rPr>
          <w:sz w:val="22"/>
        </w:rPr>
        <w:fldChar w:fldCharType="separate"/>
      </w:r>
      <w:r w:rsidR="000C59C6">
        <w:rPr>
          <w:noProof/>
          <w:sz w:val="22"/>
          <w:lang w:val="en-US"/>
        </w:rPr>
        <w:t>3</w:t>
      </w:r>
      <w:r w:rsidRPr="00DB06E9">
        <w:rPr>
          <w:sz w:val="22"/>
        </w:rPr>
        <w:fldChar w:fldCharType="end"/>
      </w:r>
      <w:bookmarkEnd w:id="8"/>
      <w:r w:rsidRPr="00DB06E9">
        <w:rPr>
          <w:sz w:val="22"/>
          <w:lang w:val="en-US"/>
        </w:rPr>
        <w:t xml:space="preserve">: </w:t>
      </w:r>
      <w:r w:rsidRPr="00DB06E9">
        <w:rPr>
          <w:b w:val="0"/>
          <w:sz w:val="22"/>
          <w:lang w:val="en-US"/>
        </w:rPr>
        <w:t>RSRQ maximum absolute deviation from ideal result</w:t>
      </w:r>
    </w:p>
    <w:tbl>
      <w:tblPr>
        <w:tblStyle w:val="TableGrid"/>
        <w:tblW w:w="0" w:type="auto"/>
        <w:jc w:val="center"/>
        <w:tblLook w:val="04A0" w:firstRow="1" w:lastRow="0" w:firstColumn="1" w:lastColumn="0" w:noHBand="0" w:noVBand="1"/>
      </w:tblPr>
      <w:tblGrid>
        <w:gridCol w:w="2407"/>
        <w:gridCol w:w="1203"/>
        <w:gridCol w:w="1204"/>
        <w:gridCol w:w="1203"/>
        <w:gridCol w:w="1204"/>
      </w:tblGrid>
      <w:tr w:rsidR="005E3AF6" w:rsidTr="009015C3">
        <w:trPr>
          <w:jc w:val="center"/>
        </w:trPr>
        <w:tc>
          <w:tcPr>
            <w:tcW w:w="2407" w:type="dxa"/>
          </w:tcPr>
          <w:p w:rsidR="005E3AF6" w:rsidRDefault="005E3AF6" w:rsidP="00AA66F8">
            <w:pPr>
              <w:rPr>
                <w:lang w:val="en-CA"/>
              </w:rPr>
            </w:pPr>
          </w:p>
        </w:tc>
        <w:tc>
          <w:tcPr>
            <w:tcW w:w="4814" w:type="dxa"/>
            <w:gridSpan w:val="4"/>
          </w:tcPr>
          <w:p w:rsidR="005E3AF6" w:rsidRPr="00A37A7F" w:rsidRDefault="005E3AF6" w:rsidP="00AA66F8">
            <w:pPr>
              <w:jc w:val="center"/>
              <w:rPr>
                <w:b/>
                <w:lang w:val="en-CA"/>
              </w:rPr>
            </w:pPr>
            <w:r>
              <w:rPr>
                <w:b/>
                <w:lang w:val="en-CA"/>
              </w:rPr>
              <w:t>RSRQ Maximum deviation ±[dB]</w:t>
            </w:r>
          </w:p>
        </w:tc>
      </w:tr>
      <w:tr w:rsidR="005E3AF6" w:rsidTr="009015C3">
        <w:trPr>
          <w:jc w:val="center"/>
        </w:trPr>
        <w:tc>
          <w:tcPr>
            <w:tcW w:w="2407" w:type="dxa"/>
          </w:tcPr>
          <w:p w:rsidR="005E3AF6" w:rsidRDefault="005E3AF6" w:rsidP="00AA66F8">
            <w:pPr>
              <w:rPr>
                <w:lang w:val="en-CA"/>
              </w:rPr>
            </w:pPr>
          </w:p>
        </w:tc>
        <w:tc>
          <w:tcPr>
            <w:tcW w:w="4814" w:type="dxa"/>
            <w:gridSpan w:val="4"/>
          </w:tcPr>
          <w:p w:rsidR="005E3AF6" w:rsidRPr="00A37A7F" w:rsidRDefault="005E3AF6" w:rsidP="00AA66F8">
            <w:pPr>
              <w:jc w:val="center"/>
              <w:rPr>
                <w:b/>
                <w:lang w:val="en-CA"/>
              </w:rPr>
            </w:pPr>
            <w:r w:rsidRPr="00A37A7F">
              <w:rPr>
                <w:b/>
                <w:lang w:val="en-CA"/>
              </w:rPr>
              <w:t>SINR range [dB]</w:t>
            </w:r>
          </w:p>
        </w:tc>
      </w:tr>
      <w:tr w:rsidR="005E3AF6" w:rsidTr="009015C3">
        <w:trPr>
          <w:jc w:val="center"/>
        </w:trPr>
        <w:tc>
          <w:tcPr>
            <w:tcW w:w="2407" w:type="dxa"/>
          </w:tcPr>
          <w:p w:rsidR="005E3AF6" w:rsidRDefault="005E3AF6" w:rsidP="00AA66F8">
            <w:pPr>
              <w:rPr>
                <w:lang w:val="en-CA"/>
              </w:rPr>
            </w:pPr>
          </w:p>
        </w:tc>
        <w:tc>
          <w:tcPr>
            <w:tcW w:w="2407" w:type="dxa"/>
            <w:gridSpan w:val="2"/>
          </w:tcPr>
          <w:p w:rsidR="005E3AF6" w:rsidRPr="00A37A7F" w:rsidRDefault="00B92B89" w:rsidP="00AA66F8">
            <w:pPr>
              <w:jc w:val="center"/>
              <w:rPr>
                <w:b/>
                <w:lang w:val="en-CA"/>
              </w:rPr>
            </w:pPr>
            <w:r>
              <w:rPr>
                <w:b/>
                <w:lang w:val="en-CA"/>
              </w:rPr>
              <w:t>-15 ≤ Ê</w:t>
            </w:r>
            <w:r w:rsidR="005E3AF6" w:rsidRPr="00A37A7F">
              <w:rPr>
                <w:b/>
                <w:lang w:val="en-CA"/>
              </w:rPr>
              <w:t xml:space="preserve">s/Iot </w:t>
            </w:r>
            <w:r w:rsidR="005E3AF6">
              <w:rPr>
                <w:b/>
                <w:lang w:val="en-CA"/>
              </w:rPr>
              <w:t>&lt;</w:t>
            </w:r>
            <w:r w:rsidR="005E3AF6" w:rsidRPr="00A37A7F">
              <w:rPr>
                <w:b/>
                <w:lang w:val="en-CA"/>
              </w:rPr>
              <w:t xml:space="preserve"> -12</w:t>
            </w:r>
          </w:p>
        </w:tc>
        <w:tc>
          <w:tcPr>
            <w:tcW w:w="2407" w:type="dxa"/>
            <w:gridSpan w:val="2"/>
          </w:tcPr>
          <w:p w:rsidR="005E3AF6" w:rsidRPr="00A37A7F" w:rsidRDefault="005E3AF6" w:rsidP="00AA66F8">
            <w:pPr>
              <w:jc w:val="center"/>
              <w:rPr>
                <w:b/>
                <w:lang w:val="en-CA"/>
              </w:rPr>
            </w:pPr>
            <w:r>
              <w:rPr>
                <w:b/>
                <w:lang w:val="en-CA"/>
              </w:rPr>
              <w:t xml:space="preserve">-12 </w:t>
            </w:r>
            <w:r w:rsidR="00B92B89">
              <w:rPr>
                <w:b/>
                <w:lang w:val="en-CA"/>
              </w:rPr>
              <w:t>≤ Ê</w:t>
            </w:r>
            <w:r w:rsidRPr="00A37A7F">
              <w:rPr>
                <w:b/>
                <w:lang w:val="en-CA"/>
              </w:rPr>
              <w:t xml:space="preserve">s/Iot </w:t>
            </w:r>
            <w:r>
              <w:rPr>
                <w:b/>
                <w:lang w:val="en-CA"/>
              </w:rPr>
              <w:t>&lt;</w:t>
            </w:r>
            <w:r w:rsidRPr="00A37A7F">
              <w:rPr>
                <w:b/>
                <w:lang w:val="en-CA"/>
              </w:rPr>
              <w:t xml:space="preserve"> -6</w:t>
            </w:r>
          </w:p>
        </w:tc>
      </w:tr>
      <w:tr w:rsidR="005E3AF6" w:rsidTr="009015C3">
        <w:trPr>
          <w:jc w:val="center"/>
        </w:trPr>
        <w:tc>
          <w:tcPr>
            <w:tcW w:w="2407" w:type="dxa"/>
          </w:tcPr>
          <w:p w:rsidR="005E3AF6" w:rsidRDefault="005E3AF6" w:rsidP="00AA66F8">
            <w:pPr>
              <w:rPr>
                <w:lang w:val="en-CA"/>
              </w:rPr>
            </w:pPr>
          </w:p>
        </w:tc>
        <w:tc>
          <w:tcPr>
            <w:tcW w:w="4814" w:type="dxa"/>
            <w:gridSpan w:val="4"/>
          </w:tcPr>
          <w:p w:rsidR="005E3AF6" w:rsidRDefault="005E3AF6" w:rsidP="00AA66F8">
            <w:pPr>
              <w:jc w:val="center"/>
              <w:rPr>
                <w:b/>
                <w:lang w:val="en-CA"/>
              </w:rPr>
            </w:pPr>
            <w:r>
              <w:rPr>
                <w:b/>
                <w:lang w:val="en-CA"/>
              </w:rPr>
              <w:t>RX branches</w:t>
            </w:r>
          </w:p>
        </w:tc>
      </w:tr>
      <w:tr w:rsidR="005E3AF6" w:rsidTr="009015C3">
        <w:trPr>
          <w:jc w:val="center"/>
        </w:trPr>
        <w:tc>
          <w:tcPr>
            <w:tcW w:w="2407" w:type="dxa"/>
          </w:tcPr>
          <w:p w:rsidR="005E3AF6" w:rsidRDefault="005E3AF6" w:rsidP="00AA66F8">
            <w:pPr>
              <w:rPr>
                <w:lang w:val="en-CA"/>
              </w:rPr>
            </w:pPr>
          </w:p>
        </w:tc>
        <w:tc>
          <w:tcPr>
            <w:tcW w:w="1203" w:type="dxa"/>
          </w:tcPr>
          <w:p w:rsidR="005E3AF6" w:rsidRPr="005E3AF6" w:rsidRDefault="005E3AF6" w:rsidP="00AA66F8">
            <w:pPr>
              <w:jc w:val="center"/>
              <w:rPr>
                <w:b/>
                <w:lang w:val="en-CA"/>
              </w:rPr>
            </w:pPr>
            <w:r w:rsidRPr="005E3AF6">
              <w:rPr>
                <w:b/>
                <w:lang w:val="en-CA"/>
              </w:rPr>
              <w:t>1</w:t>
            </w:r>
          </w:p>
        </w:tc>
        <w:tc>
          <w:tcPr>
            <w:tcW w:w="1204" w:type="dxa"/>
          </w:tcPr>
          <w:p w:rsidR="005E3AF6" w:rsidRPr="005E3AF6" w:rsidRDefault="005E3AF6" w:rsidP="00AA66F8">
            <w:pPr>
              <w:jc w:val="center"/>
              <w:rPr>
                <w:b/>
                <w:lang w:val="en-CA"/>
              </w:rPr>
            </w:pPr>
            <w:r w:rsidRPr="005E3AF6">
              <w:rPr>
                <w:b/>
                <w:lang w:val="en-CA"/>
              </w:rPr>
              <w:t>2</w:t>
            </w:r>
          </w:p>
        </w:tc>
        <w:tc>
          <w:tcPr>
            <w:tcW w:w="1203" w:type="dxa"/>
          </w:tcPr>
          <w:p w:rsidR="005E3AF6" w:rsidRPr="005E3AF6" w:rsidRDefault="005E3AF6" w:rsidP="00AA66F8">
            <w:pPr>
              <w:jc w:val="center"/>
              <w:rPr>
                <w:b/>
                <w:lang w:val="en-CA"/>
              </w:rPr>
            </w:pPr>
            <w:r w:rsidRPr="005E3AF6">
              <w:rPr>
                <w:b/>
                <w:lang w:val="en-CA"/>
              </w:rPr>
              <w:t>1</w:t>
            </w:r>
          </w:p>
        </w:tc>
        <w:tc>
          <w:tcPr>
            <w:tcW w:w="1204" w:type="dxa"/>
          </w:tcPr>
          <w:p w:rsidR="005E3AF6" w:rsidRPr="005E3AF6" w:rsidRDefault="005E3AF6" w:rsidP="00AA66F8">
            <w:pPr>
              <w:jc w:val="center"/>
              <w:rPr>
                <w:b/>
                <w:lang w:val="en-CA"/>
              </w:rPr>
            </w:pPr>
            <w:r w:rsidRPr="005E3AF6">
              <w:rPr>
                <w:b/>
                <w:lang w:val="en-CA"/>
              </w:rPr>
              <w:t>2</w:t>
            </w:r>
          </w:p>
        </w:tc>
      </w:tr>
      <w:tr w:rsidR="005E3AF6" w:rsidTr="009015C3">
        <w:trPr>
          <w:jc w:val="center"/>
        </w:trPr>
        <w:tc>
          <w:tcPr>
            <w:tcW w:w="2407" w:type="dxa"/>
          </w:tcPr>
          <w:p w:rsidR="005E3AF6" w:rsidRDefault="005E3AF6" w:rsidP="00AA66F8">
            <w:pPr>
              <w:rPr>
                <w:lang w:val="en-CA"/>
              </w:rPr>
            </w:pPr>
            <w:r>
              <w:rPr>
                <w:lang w:val="en-CA"/>
              </w:rPr>
              <w:t>AWGN</w:t>
            </w:r>
          </w:p>
        </w:tc>
        <w:tc>
          <w:tcPr>
            <w:tcW w:w="1203" w:type="dxa"/>
          </w:tcPr>
          <w:p w:rsidR="005E3AF6" w:rsidRDefault="009B4A9B" w:rsidP="00AA66F8">
            <w:pPr>
              <w:jc w:val="center"/>
              <w:rPr>
                <w:lang w:val="en-CA"/>
              </w:rPr>
            </w:pPr>
            <w:r>
              <w:rPr>
                <w:lang w:val="en-CA"/>
              </w:rPr>
              <w:t>2.2</w:t>
            </w:r>
          </w:p>
        </w:tc>
        <w:tc>
          <w:tcPr>
            <w:tcW w:w="1204" w:type="dxa"/>
          </w:tcPr>
          <w:p w:rsidR="005E3AF6" w:rsidRDefault="009B4A9B" w:rsidP="00AA66F8">
            <w:pPr>
              <w:jc w:val="center"/>
              <w:rPr>
                <w:lang w:val="en-CA"/>
              </w:rPr>
            </w:pPr>
            <w:r>
              <w:rPr>
                <w:lang w:val="en-CA"/>
              </w:rPr>
              <w:t>2.3</w:t>
            </w:r>
          </w:p>
        </w:tc>
        <w:tc>
          <w:tcPr>
            <w:tcW w:w="1203" w:type="dxa"/>
          </w:tcPr>
          <w:p w:rsidR="005E3AF6" w:rsidRDefault="009B4A9B" w:rsidP="00AA66F8">
            <w:pPr>
              <w:jc w:val="center"/>
              <w:rPr>
                <w:lang w:val="en-CA"/>
              </w:rPr>
            </w:pPr>
            <w:r>
              <w:rPr>
                <w:lang w:val="en-CA"/>
              </w:rPr>
              <w:t>1.3</w:t>
            </w:r>
          </w:p>
        </w:tc>
        <w:tc>
          <w:tcPr>
            <w:tcW w:w="1204" w:type="dxa"/>
          </w:tcPr>
          <w:p w:rsidR="005E3AF6" w:rsidRDefault="009B4A9B" w:rsidP="00AA66F8">
            <w:pPr>
              <w:jc w:val="center"/>
              <w:rPr>
                <w:lang w:val="en-CA"/>
              </w:rPr>
            </w:pPr>
            <w:r>
              <w:rPr>
                <w:lang w:val="en-CA"/>
              </w:rPr>
              <w:t>1.5</w:t>
            </w:r>
          </w:p>
        </w:tc>
      </w:tr>
      <w:tr w:rsidR="005E3AF6" w:rsidTr="009015C3">
        <w:trPr>
          <w:jc w:val="center"/>
        </w:trPr>
        <w:tc>
          <w:tcPr>
            <w:tcW w:w="2407" w:type="dxa"/>
          </w:tcPr>
          <w:p w:rsidR="005E3AF6" w:rsidRDefault="005E3AF6" w:rsidP="00AA66F8">
            <w:pPr>
              <w:rPr>
                <w:lang w:val="en-CA"/>
              </w:rPr>
            </w:pPr>
            <w:r>
              <w:rPr>
                <w:lang w:val="en-CA"/>
              </w:rPr>
              <w:t>ETU1</w:t>
            </w:r>
          </w:p>
        </w:tc>
        <w:tc>
          <w:tcPr>
            <w:tcW w:w="1203" w:type="dxa"/>
          </w:tcPr>
          <w:p w:rsidR="005E3AF6" w:rsidRDefault="009B4A9B" w:rsidP="00AA66F8">
            <w:pPr>
              <w:jc w:val="center"/>
              <w:rPr>
                <w:lang w:val="en-CA"/>
              </w:rPr>
            </w:pPr>
            <w:r>
              <w:rPr>
                <w:lang w:val="en-CA"/>
              </w:rPr>
              <w:t>4.1</w:t>
            </w:r>
          </w:p>
        </w:tc>
        <w:tc>
          <w:tcPr>
            <w:tcW w:w="1204" w:type="dxa"/>
          </w:tcPr>
          <w:p w:rsidR="005E3AF6" w:rsidRDefault="009B4A9B" w:rsidP="00AA66F8">
            <w:pPr>
              <w:jc w:val="center"/>
              <w:rPr>
                <w:lang w:val="en-CA"/>
              </w:rPr>
            </w:pPr>
            <w:r>
              <w:rPr>
                <w:lang w:val="en-CA"/>
              </w:rPr>
              <w:t>3.0</w:t>
            </w:r>
          </w:p>
        </w:tc>
        <w:tc>
          <w:tcPr>
            <w:tcW w:w="1203" w:type="dxa"/>
          </w:tcPr>
          <w:p w:rsidR="005E3AF6" w:rsidRDefault="009B4A9B" w:rsidP="00AA66F8">
            <w:pPr>
              <w:jc w:val="center"/>
              <w:rPr>
                <w:lang w:val="en-CA"/>
              </w:rPr>
            </w:pPr>
            <w:r>
              <w:rPr>
                <w:lang w:val="en-CA"/>
              </w:rPr>
              <w:t>5.0</w:t>
            </w:r>
          </w:p>
        </w:tc>
        <w:tc>
          <w:tcPr>
            <w:tcW w:w="1204" w:type="dxa"/>
          </w:tcPr>
          <w:p w:rsidR="005E3AF6" w:rsidRDefault="009B4A9B" w:rsidP="00AA66F8">
            <w:pPr>
              <w:jc w:val="center"/>
              <w:rPr>
                <w:lang w:val="en-CA"/>
              </w:rPr>
            </w:pPr>
            <w:r>
              <w:rPr>
                <w:lang w:val="en-CA"/>
              </w:rPr>
              <w:t>3.1</w:t>
            </w:r>
          </w:p>
        </w:tc>
      </w:tr>
      <w:tr w:rsidR="005E3AF6" w:rsidTr="009015C3">
        <w:trPr>
          <w:jc w:val="center"/>
        </w:trPr>
        <w:tc>
          <w:tcPr>
            <w:tcW w:w="2407" w:type="dxa"/>
          </w:tcPr>
          <w:p w:rsidR="005E3AF6" w:rsidRDefault="005E3AF6" w:rsidP="00AA66F8">
            <w:pPr>
              <w:rPr>
                <w:lang w:val="en-CA"/>
              </w:rPr>
            </w:pPr>
            <w:r>
              <w:rPr>
                <w:lang w:val="en-CA"/>
              </w:rPr>
              <w:t>EPA1</w:t>
            </w:r>
          </w:p>
        </w:tc>
        <w:tc>
          <w:tcPr>
            <w:tcW w:w="1203" w:type="dxa"/>
          </w:tcPr>
          <w:p w:rsidR="005E3AF6" w:rsidRDefault="009B4A9B" w:rsidP="00AA66F8">
            <w:pPr>
              <w:jc w:val="center"/>
              <w:rPr>
                <w:lang w:val="en-CA"/>
              </w:rPr>
            </w:pPr>
            <w:r>
              <w:rPr>
                <w:lang w:val="en-CA"/>
              </w:rPr>
              <w:t>3.2</w:t>
            </w:r>
          </w:p>
        </w:tc>
        <w:tc>
          <w:tcPr>
            <w:tcW w:w="1204" w:type="dxa"/>
          </w:tcPr>
          <w:p w:rsidR="005E3AF6" w:rsidRDefault="009B4A9B" w:rsidP="00AA66F8">
            <w:pPr>
              <w:jc w:val="center"/>
              <w:rPr>
                <w:lang w:val="en-CA"/>
              </w:rPr>
            </w:pPr>
            <w:r>
              <w:rPr>
                <w:lang w:val="en-CA"/>
              </w:rPr>
              <w:t>3.7</w:t>
            </w:r>
          </w:p>
        </w:tc>
        <w:tc>
          <w:tcPr>
            <w:tcW w:w="1203" w:type="dxa"/>
          </w:tcPr>
          <w:p w:rsidR="005E3AF6" w:rsidRDefault="009B4A9B" w:rsidP="00AA66F8">
            <w:pPr>
              <w:jc w:val="center"/>
              <w:rPr>
                <w:lang w:val="en-CA"/>
              </w:rPr>
            </w:pPr>
            <w:r>
              <w:rPr>
                <w:lang w:val="en-CA"/>
              </w:rPr>
              <w:t>3.8</w:t>
            </w:r>
          </w:p>
        </w:tc>
        <w:tc>
          <w:tcPr>
            <w:tcW w:w="1204" w:type="dxa"/>
          </w:tcPr>
          <w:p w:rsidR="005E3AF6" w:rsidRDefault="009B4A9B" w:rsidP="00AA66F8">
            <w:pPr>
              <w:jc w:val="center"/>
              <w:rPr>
                <w:lang w:val="en-CA"/>
              </w:rPr>
            </w:pPr>
            <w:r>
              <w:rPr>
                <w:lang w:val="en-CA"/>
              </w:rPr>
              <w:t>3.5</w:t>
            </w:r>
          </w:p>
        </w:tc>
      </w:tr>
      <w:tr w:rsidR="005E3AF6" w:rsidTr="009015C3">
        <w:trPr>
          <w:jc w:val="center"/>
        </w:trPr>
        <w:tc>
          <w:tcPr>
            <w:tcW w:w="2407" w:type="dxa"/>
          </w:tcPr>
          <w:p w:rsidR="005E3AF6" w:rsidRPr="0001606F" w:rsidRDefault="005E3AF6" w:rsidP="00AA66F8">
            <w:pPr>
              <w:rPr>
                <w:b/>
                <w:lang w:val="en-CA"/>
              </w:rPr>
            </w:pPr>
            <w:r>
              <w:rPr>
                <w:b/>
                <w:lang w:val="en-CA"/>
              </w:rPr>
              <w:t>Largest deviation</w:t>
            </w:r>
          </w:p>
        </w:tc>
        <w:tc>
          <w:tcPr>
            <w:tcW w:w="1203" w:type="dxa"/>
          </w:tcPr>
          <w:p w:rsidR="005E3AF6" w:rsidRPr="0001606F" w:rsidRDefault="00DB06E9" w:rsidP="00AA66F8">
            <w:pPr>
              <w:jc w:val="center"/>
              <w:rPr>
                <w:b/>
                <w:lang w:val="en-CA"/>
              </w:rPr>
            </w:pPr>
            <w:r>
              <w:rPr>
                <w:b/>
                <w:lang w:val="en-CA"/>
              </w:rPr>
              <w:t>4.1</w:t>
            </w:r>
          </w:p>
        </w:tc>
        <w:tc>
          <w:tcPr>
            <w:tcW w:w="1204" w:type="dxa"/>
          </w:tcPr>
          <w:p w:rsidR="005E3AF6" w:rsidRPr="0001606F" w:rsidRDefault="00DB06E9" w:rsidP="00AA66F8">
            <w:pPr>
              <w:jc w:val="center"/>
              <w:rPr>
                <w:b/>
                <w:lang w:val="en-CA"/>
              </w:rPr>
            </w:pPr>
            <w:r>
              <w:rPr>
                <w:b/>
                <w:lang w:val="en-CA"/>
              </w:rPr>
              <w:t>3.7</w:t>
            </w:r>
          </w:p>
        </w:tc>
        <w:tc>
          <w:tcPr>
            <w:tcW w:w="1203" w:type="dxa"/>
          </w:tcPr>
          <w:p w:rsidR="005E3AF6" w:rsidRPr="0001606F" w:rsidRDefault="00DB06E9" w:rsidP="00AA66F8">
            <w:pPr>
              <w:jc w:val="center"/>
              <w:rPr>
                <w:b/>
                <w:lang w:val="en-CA"/>
              </w:rPr>
            </w:pPr>
            <w:r>
              <w:rPr>
                <w:b/>
                <w:lang w:val="en-CA"/>
              </w:rPr>
              <w:t>5.0</w:t>
            </w:r>
          </w:p>
        </w:tc>
        <w:tc>
          <w:tcPr>
            <w:tcW w:w="1204" w:type="dxa"/>
          </w:tcPr>
          <w:p w:rsidR="005E3AF6" w:rsidRPr="0001606F" w:rsidRDefault="00DB06E9" w:rsidP="00AA66F8">
            <w:pPr>
              <w:jc w:val="center"/>
              <w:rPr>
                <w:b/>
                <w:lang w:val="en-CA"/>
              </w:rPr>
            </w:pPr>
            <w:r>
              <w:rPr>
                <w:b/>
                <w:lang w:val="en-CA"/>
              </w:rPr>
              <w:t>3.5</w:t>
            </w:r>
          </w:p>
        </w:tc>
      </w:tr>
    </w:tbl>
    <w:p w:rsidR="00A37A7F" w:rsidRPr="002723B5" w:rsidRDefault="00A37A7F" w:rsidP="00A37A7F">
      <w:pPr>
        <w:rPr>
          <w:i/>
          <w:lang w:val="en-CA"/>
        </w:rPr>
      </w:pPr>
    </w:p>
    <w:p w:rsidR="00B92B89" w:rsidRPr="002723B5" w:rsidRDefault="00B92B89" w:rsidP="00B92B89">
      <w:pPr>
        <w:jc w:val="both"/>
        <w:rPr>
          <w:i/>
          <w:sz w:val="22"/>
          <w:szCs w:val="22"/>
          <w:lang w:val="en-CA"/>
        </w:rPr>
      </w:pPr>
      <w:r w:rsidRPr="002723B5">
        <w:rPr>
          <w:i/>
          <w:sz w:val="22"/>
          <w:szCs w:val="22"/>
          <w:lang w:val="en-CA"/>
        </w:rPr>
        <w:t>Lower range (-15 ≤ Ês/Iot &lt; -12 dB)</w:t>
      </w:r>
    </w:p>
    <w:p w:rsidR="00B92B89" w:rsidRDefault="00B92B89" w:rsidP="00B92B89">
      <w:pPr>
        <w:jc w:val="both"/>
        <w:rPr>
          <w:sz w:val="22"/>
          <w:szCs w:val="22"/>
          <w:lang w:val="en-CA"/>
        </w:rPr>
      </w:pPr>
      <w:r>
        <w:rPr>
          <w:sz w:val="22"/>
          <w:szCs w:val="22"/>
          <w:lang w:val="en-CA"/>
        </w:rPr>
        <w:t>The results indicate that for fading scenarios, using two Rx branches reduces the span of the 90 per</w:t>
      </w:r>
      <w:r w:rsidR="002723B5">
        <w:rPr>
          <w:sz w:val="22"/>
          <w:szCs w:val="22"/>
          <w:lang w:val="en-CA"/>
        </w:rPr>
        <w:t>cent central mass significantly</w:t>
      </w:r>
      <w:r>
        <w:rPr>
          <w:sz w:val="22"/>
          <w:szCs w:val="22"/>
          <w:lang w:val="en-CA"/>
        </w:rPr>
        <w:t>. The bias component increases though, and partly counteracts the gain of the more compressed distribution. Studying individual scenarios</w:t>
      </w:r>
      <w:r w:rsidR="002723B5">
        <w:rPr>
          <w:sz w:val="22"/>
          <w:szCs w:val="22"/>
          <w:lang w:val="en-CA"/>
        </w:rPr>
        <w:t>,</w:t>
      </w:r>
      <w:r>
        <w:rPr>
          <w:sz w:val="22"/>
          <w:szCs w:val="22"/>
          <w:lang w:val="en-CA"/>
        </w:rPr>
        <w:t xml:space="preserve"> the result is inconclusive on whether there is a gain with using two Rx branches, but looking at the largest deviation over all t</w:t>
      </w:r>
      <w:r w:rsidR="002723B5">
        <w:rPr>
          <w:sz w:val="22"/>
          <w:szCs w:val="22"/>
          <w:lang w:val="en-CA"/>
        </w:rPr>
        <w:t>he scenarios one can see an</w:t>
      </w:r>
      <w:r>
        <w:rPr>
          <w:sz w:val="22"/>
          <w:szCs w:val="22"/>
          <w:lang w:val="en-CA"/>
        </w:rPr>
        <w:t xml:space="preserve"> improvement</w:t>
      </w:r>
      <w:r w:rsidR="002723B5">
        <w:rPr>
          <w:sz w:val="22"/>
          <w:szCs w:val="22"/>
          <w:lang w:val="en-CA"/>
        </w:rPr>
        <w:t xml:space="preserve"> by 0.2dB for RSRP and 0.4dB for RSRQ.</w:t>
      </w:r>
    </w:p>
    <w:p w:rsidR="00B92B89" w:rsidRPr="002723B5" w:rsidRDefault="009015C3" w:rsidP="00B92B89">
      <w:pPr>
        <w:jc w:val="both"/>
        <w:rPr>
          <w:i/>
          <w:sz w:val="22"/>
          <w:szCs w:val="22"/>
          <w:lang w:val="en-CA"/>
        </w:rPr>
      </w:pPr>
      <w:r>
        <w:rPr>
          <w:i/>
          <w:sz w:val="22"/>
          <w:szCs w:val="22"/>
          <w:lang w:val="en-CA"/>
        </w:rPr>
        <w:t>Upper</w:t>
      </w:r>
      <w:r w:rsidR="002723B5">
        <w:rPr>
          <w:i/>
          <w:sz w:val="22"/>
          <w:szCs w:val="22"/>
          <w:lang w:val="en-CA"/>
        </w:rPr>
        <w:t xml:space="preserve"> range (-12 ≤ Ês/Iot &lt; -6 dB)</w:t>
      </w:r>
    </w:p>
    <w:p w:rsidR="009904CA" w:rsidRDefault="002723B5" w:rsidP="009015C3">
      <w:pPr>
        <w:jc w:val="both"/>
        <w:rPr>
          <w:sz w:val="22"/>
          <w:szCs w:val="22"/>
          <w:lang w:val="en-CA"/>
        </w:rPr>
      </w:pPr>
      <w:r>
        <w:rPr>
          <w:sz w:val="22"/>
          <w:szCs w:val="22"/>
          <w:lang w:val="en-CA"/>
        </w:rPr>
        <w:t>The results indicate that for fading scenarios, using two Rx branches reduces the span of the 90 percent central mass significantly. The bias component is less of a problem in this Ês/Iot range, and the compressed distribution transfers to reduced deviations from the ideal measured values. The improvement is seen both for the individual scenarios and when studying the largest deviation over all scenarios. For th</w:t>
      </w:r>
      <w:r w:rsidR="003678BB">
        <w:rPr>
          <w:sz w:val="22"/>
          <w:szCs w:val="22"/>
          <w:lang w:val="en-CA"/>
        </w:rPr>
        <w:t>e latter, the improvement is 1.7</w:t>
      </w:r>
      <w:r>
        <w:rPr>
          <w:sz w:val="22"/>
          <w:szCs w:val="22"/>
          <w:lang w:val="en-CA"/>
        </w:rPr>
        <w:t>dB</w:t>
      </w:r>
      <w:r w:rsidR="003678BB">
        <w:rPr>
          <w:sz w:val="22"/>
          <w:szCs w:val="22"/>
          <w:lang w:val="en-CA"/>
        </w:rPr>
        <w:t xml:space="preserve"> for RSRP and 1.5dB for RSRQ</w:t>
      </w:r>
      <w:r>
        <w:rPr>
          <w:sz w:val="22"/>
          <w:szCs w:val="22"/>
          <w:lang w:val="en-CA"/>
        </w:rPr>
        <w:t>.</w:t>
      </w:r>
    </w:p>
    <w:p w:rsidR="009904CA" w:rsidRDefault="009904CA" w:rsidP="009015C3">
      <w:pPr>
        <w:jc w:val="both"/>
        <w:rPr>
          <w:sz w:val="22"/>
          <w:szCs w:val="22"/>
          <w:lang w:val="en-CA"/>
        </w:rPr>
      </w:pPr>
      <w:r>
        <w:rPr>
          <w:sz w:val="22"/>
          <w:szCs w:val="22"/>
          <w:lang w:val="en-CA"/>
        </w:rPr>
        <w:t>Based on the results, we propose the following:</w:t>
      </w:r>
    </w:p>
    <w:p w:rsidR="009904CA" w:rsidRPr="009904CA" w:rsidRDefault="009904CA" w:rsidP="009015C3">
      <w:pPr>
        <w:jc w:val="both"/>
        <w:rPr>
          <w:b/>
          <w:sz w:val="22"/>
          <w:szCs w:val="22"/>
          <w:lang w:val="en-CA"/>
        </w:rPr>
      </w:pPr>
      <w:r>
        <w:rPr>
          <w:b/>
          <w:sz w:val="22"/>
          <w:szCs w:val="22"/>
          <w:lang w:val="en-CA"/>
        </w:rPr>
        <w:t xml:space="preserve">Proposal 1: </w:t>
      </w:r>
      <w:r w:rsidRPr="009904CA">
        <w:rPr>
          <w:sz w:val="22"/>
          <w:szCs w:val="22"/>
          <w:lang w:val="en-CA"/>
        </w:rPr>
        <w:t>The measurement accuracy for non-BL UE is tightened by 1.5dB for RSRP and RSRQ for the Ês/Iot range of -12 to -6dB. The underlying assumption is that the non-BL UE can use 2 Rx</w:t>
      </w:r>
      <w:r>
        <w:rPr>
          <w:b/>
          <w:sz w:val="22"/>
          <w:szCs w:val="22"/>
          <w:lang w:val="en-CA"/>
        </w:rPr>
        <w:t xml:space="preserve"> </w:t>
      </w:r>
      <w:r w:rsidRPr="009904CA">
        <w:rPr>
          <w:sz w:val="22"/>
          <w:szCs w:val="22"/>
          <w:lang w:val="en-CA"/>
        </w:rPr>
        <w:t>branches</w:t>
      </w:r>
      <w:r>
        <w:rPr>
          <w:sz w:val="22"/>
          <w:szCs w:val="22"/>
          <w:lang w:val="en-CA"/>
        </w:rPr>
        <w:t>.</w:t>
      </w:r>
    </w:p>
    <w:p w:rsidR="00817D11" w:rsidRDefault="00DB06E9" w:rsidP="00DB06E9">
      <w:pPr>
        <w:pStyle w:val="Heading1"/>
        <w:rPr>
          <w:lang w:val="en-CA"/>
        </w:rPr>
      </w:pPr>
      <w:r>
        <w:rPr>
          <w:lang w:val="en-CA"/>
        </w:rPr>
        <w:t>Summary and Conclusion</w:t>
      </w:r>
    </w:p>
    <w:p w:rsidR="00753C82" w:rsidRDefault="00753C82" w:rsidP="00DB06E9">
      <w:pPr>
        <w:rPr>
          <w:sz w:val="22"/>
          <w:lang w:val="en-CA"/>
        </w:rPr>
      </w:pPr>
      <w:r>
        <w:rPr>
          <w:sz w:val="22"/>
          <w:lang w:val="en-CA"/>
        </w:rPr>
        <w:t xml:space="preserve">Simulations indicate that by using 2 Rx branches, a non-BL UE can meet a tighter measurement accuracy in the SINR range -12 ≤ Ês/Iot &lt; -6 dB. The improvement is less at lower </w:t>
      </w:r>
      <w:r w:rsidR="0038582D">
        <w:rPr>
          <w:sz w:val="22"/>
          <w:lang w:val="en-CA"/>
        </w:rPr>
        <w:t>SINR hence we find little</w:t>
      </w:r>
      <w:r>
        <w:rPr>
          <w:sz w:val="22"/>
          <w:lang w:val="en-CA"/>
        </w:rPr>
        <w:t xml:space="preserve"> justification for tightening the requirements in the SINR range -15 ≤ Ês/Iot &lt; -12 dB. The following is proposed:</w:t>
      </w:r>
    </w:p>
    <w:p w:rsidR="00753C82" w:rsidRPr="009904CA" w:rsidRDefault="00753C82" w:rsidP="00753C82">
      <w:pPr>
        <w:jc w:val="both"/>
        <w:rPr>
          <w:b/>
          <w:sz w:val="22"/>
          <w:szCs w:val="22"/>
          <w:lang w:val="en-CA"/>
        </w:rPr>
      </w:pPr>
      <w:r>
        <w:rPr>
          <w:b/>
          <w:sz w:val="22"/>
          <w:szCs w:val="22"/>
          <w:lang w:val="en-CA"/>
        </w:rPr>
        <w:t xml:space="preserve">Proposal 1: </w:t>
      </w:r>
      <w:r w:rsidRPr="009904CA">
        <w:rPr>
          <w:sz w:val="22"/>
          <w:szCs w:val="22"/>
          <w:lang w:val="en-CA"/>
        </w:rPr>
        <w:t>The measurement accuracy for non-BL UE is tightened by 1.5dB for RSRP and RSRQ for the Ês/Iot range of -12 to -6dB. The underlying assumption is that the non-BL UE can use 2 Rx</w:t>
      </w:r>
      <w:r>
        <w:rPr>
          <w:b/>
          <w:sz w:val="22"/>
          <w:szCs w:val="22"/>
          <w:lang w:val="en-CA"/>
        </w:rPr>
        <w:t xml:space="preserve"> </w:t>
      </w:r>
      <w:r w:rsidRPr="009904CA">
        <w:rPr>
          <w:sz w:val="22"/>
          <w:szCs w:val="22"/>
          <w:lang w:val="en-CA"/>
        </w:rPr>
        <w:t>branches</w:t>
      </w:r>
      <w:r>
        <w:rPr>
          <w:sz w:val="22"/>
          <w:szCs w:val="22"/>
          <w:lang w:val="en-CA"/>
        </w:rPr>
        <w:t>.</w:t>
      </w:r>
    </w:p>
    <w:p w:rsidR="00753C82" w:rsidRDefault="00753C82" w:rsidP="00DB06E9">
      <w:pPr>
        <w:rPr>
          <w:sz w:val="22"/>
          <w:lang w:val="en-CA"/>
        </w:rPr>
      </w:pPr>
    </w:p>
    <w:p w:rsidR="00BD2156" w:rsidRPr="00DB06E9" w:rsidRDefault="00D80957" w:rsidP="00DB06E9">
      <w:pPr>
        <w:pStyle w:val="Heading1"/>
      </w:pPr>
      <w:r w:rsidRPr="00DB06E9">
        <w:lastRenderedPageBreak/>
        <w:t>References</w:t>
      </w:r>
      <w:bookmarkEnd w:id="1"/>
      <w:bookmarkEnd w:id="2"/>
    </w:p>
    <w:p w:rsidR="00614361" w:rsidRDefault="00614361" w:rsidP="00614361">
      <w:pPr>
        <w:numPr>
          <w:ilvl w:val="0"/>
          <w:numId w:val="9"/>
        </w:numPr>
        <w:tabs>
          <w:tab w:val="left" w:pos="851"/>
        </w:tabs>
        <w:rPr>
          <w:rFonts w:ascii="Arial" w:hAnsi="Arial" w:cs="Arial"/>
          <w:sz w:val="22"/>
          <w:szCs w:val="22"/>
          <w:lang w:val="en-CA"/>
        </w:rPr>
      </w:pPr>
      <w:bookmarkStart w:id="9" w:name="_Ref489875739"/>
      <w:r>
        <w:rPr>
          <w:rFonts w:ascii="Arial" w:hAnsi="Arial" w:cs="Arial"/>
          <w:sz w:val="22"/>
          <w:szCs w:val="22"/>
          <w:lang w:val="en-CA"/>
        </w:rPr>
        <w:t>R4-1706185 “</w:t>
      </w:r>
      <w:r w:rsidRPr="00614361">
        <w:rPr>
          <w:rFonts w:ascii="Arial" w:hAnsi="Arial" w:cs="Arial"/>
          <w:sz w:val="22"/>
          <w:szCs w:val="22"/>
          <w:lang w:val="en-CA"/>
        </w:rPr>
        <w:t>WF on RSRP and RSRQ Requirements for Rel-14 non-BL/CE UE</w:t>
      </w:r>
      <w:r>
        <w:rPr>
          <w:rFonts w:ascii="Arial" w:hAnsi="Arial" w:cs="Arial"/>
          <w:sz w:val="22"/>
          <w:szCs w:val="22"/>
          <w:lang w:val="en-CA"/>
        </w:rPr>
        <w:t>”, Ericsson, Intel, Huawei, HiSilicon</w:t>
      </w:r>
      <w:bookmarkEnd w:id="9"/>
    </w:p>
    <w:p w:rsidR="006C15EF" w:rsidRDefault="00CC7994" w:rsidP="00021BBA">
      <w:pPr>
        <w:numPr>
          <w:ilvl w:val="0"/>
          <w:numId w:val="9"/>
        </w:numPr>
        <w:tabs>
          <w:tab w:val="left" w:pos="851"/>
        </w:tabs>
        <w:rPr>
          <w:rFonts w:ascii="Arial" w:hAnsi="Arial" w:cs="Arial"/>
          <w:sz w:val="22"/>
          <w:szCs w:val="22"/>
          <w:lang w:val="en-CA"/>
        </w:rPr>
      </w:pPr>
      <w:r w:rsidRPr="00862C73">
        <w:rPr>
          <w:rFonts w:ascii="Arial" w:hAnsi="Arial" w:cs="Arial"/>
          <w:sz w:val="22"/>
          <w:szCs w:val="22"/>
          <w:lang w:val="en-CA"/>
        </w:rPr>
        <w:t>36.133</w:t>
      </w:r>
    </w:p>
    <w:p w:rsidR="009F15C9" w:rsidRDefault="009F15C9" w:rsidP="009F15C9">
      <w:pPr>
        <w:tabs>
          <w:tab w:val="left" w:pos="851"/>
        </w:tabs>
        <w:rPr>
          <w:rFonts w:ascii="Arial" w:hAnsi="Arial" w:cs="Arial"/>
          <w:sz w:val="22"/>
          <w:szCs w:val="22"/>
          <w:lang w:val="en-CA"/>
        </w:rPr>
      </w:pPr>
    </w:p>
    <w:p w:rsidR="009F15C9" w:rsidRPr="001F6E84" w:rsidRDefault="009F15C9" w:rsidP="00DB06E9">
      <w:pPr>
        <w:pStyle w:val="Heading1"/>
        <w:ind w:right="-441"/>
        <w:rPr>
          <w:lang w:val="en-CA"/>
        </w:rPr>
      </w:pPr>
      <w:r>
        <w:rPr>
          <w:lang w:val="en-CA"/>
        </w:rPr>
        <w:t>Appendix</w:t>
      </w:r>
    </w:p>
    <w:p w:rsidR="008957D1" w:rsidRPr="008957D1" w:rsidRDefault="008957D1" w:rsidP="00DB06E9">
      <w:pPr>
        <w:tabs>
          <w:tab w:val="num" w:pos="576"/>
        </w:tabs>
        <w:ind w:right="-441" w:hanging="342"/>
        <w:rPr>
          <w:lang w:val="en-CA"/>
        </w:rPr>
      </w:pPr>
      <w:r w:rsidRPr="008957D1">
        <w:rPr>
          <w:noProof/>
          <w:lang w:val="en-US"/>
        </w:rPr>
        <w:drawing>
          <wp:inline distT="0" distB="0" distL="0" distR="0">
            <wp:extent cx="3191256" cy="2395728"/>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r w:rsidRPr="008957D1">
        <w:rPr>
          <w:noProof/>
          <w:lang w:val="en-US"/>
        </w:rPr>
        <w:drawing>
          <wp:inline distT="0" distB="0" distL="0" distR="0">
            <wp:extent cx="3191256" cy="2395728"/>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p w:rsidR="00565823" w:rsidRDefault="008957D1" w:rsidP="00DB06E9">
      <w:pPr>
        <w:tabs>
          <w:tab w:val="num" w:pos="576"/>
        </w:tabs>
        <w:ind w:right="-441" w:hanging="342"/>
        <w:rPr>
          <w:lang w:val="en-CA"/>
        </w:rPr>
      </w:pPr>
      <w:r w:rsidRPr="008957D1">
        <w:rPr>
          <w:noProof/>
          <w:lang w:val="en-US"/>
        </w:rPr>
        <w:drawing>
          <wp:inline distT="0" distB="0" distL="0" distR="0">
            <wp:extent cx="3191256" cy="2395728"/>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r w:rsidRPr="008957D1">
        <w:rPr>
          <w:noProof/>
          <w:lang w:val="en-US"/>
        </w:rPr>
        <w:drawing>
          <wp:inline distT="0" distB="0" distL="0" distR="0">
            <wp:extent cx="3191256" cy="2395728"/>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p w:rsidR="00565823" w:rsidRDefault="00565823" w:rsidP="00DB06E9">
      <w:pPr>
        <w:tabs>
          <w:tab w:val="num" w:pos="576"/>
        </w:tabs>
        <w:ind w:right="-441" w:hanging="342"/>
        <w:rPr>
          <w:lang w:val="en-CA"/>
        </w:rPr>
      </w:pPr>
    </w:p>
    <w:p w:rsidR="009F15C9" w:rsidRPr="009F15C9" w:rsidRDefault="008957D1" w:rsidP="00DB06E9">
      <w:pPr>
        <w:tabs>
          <w:tab w:val="num" w:pos="576"/>
        </w:tabs>
        <w:ind w:right="-441" w:hanging="342"/>
        <w:rPr>
          <w:lang w:val="en-CA"/>
        </w:rPr>
      </w:pPr>
      <w:r w:rsidRPr="008957D1">
        <w:rPr>
          <w:noProof/>
          <w:lang w:val="en-US"/>
        </w:rPr>
        <w:lastRenderedPageBreak/>
        <w:drawing>
          <wp:inline distT="0" distB="0" distL="0" distR="0">
            <wp:extent cx="3191256" cy="23957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r w:rsidRPr="008957D1">
        <w:rPr>
          <w:noProof/>
          <w:lang w:val="en-US"/>
        </w:rPr>
        <w:drawing>
          <wp:inline distT="0" distB="0" distL="0" distR="0">
            <wp:extent cx="3191256" cy="23957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sectPr w:rsidR="009F15C9" w:rsidRPr="009F15C9" w:rsidSect="00D04AFA">
      <w:footerReference w:type="even" r:id="rId16"/>
      <w:footerReference w:type="defaul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071" w:rsidRDefault="008B3071">
      <w:r>
        <w:separator/>
      </w:r>
    </w:p>
  </w:endnote>
  <w:endnote w:type="continuationSeparator" w:id="0">
    <w:p w:rsidR="008B3071" w:rsidRDefault="008B3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D077A">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071" w:rsidRDefault="008B3071">
      <w:r>
        <w:separator/>
      </w:r>
    </w:p>
  </w:footnote>
  <w:footnote w:type="continuationSeparator" w:id="0">
    <w:p w:rsidR="008B3071" w:rsidRDefault="008B3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1"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4"/>
  </w:num>
  <w:num w:numId="3">
    <w:abstractNumId w:val="42"/>
  </w:num>
  <w:num w:numId="4">
    <w:abstractNumId w:val="18"/>
  </w:num>
  <w:num w:numId="5">
    <w:abstractNumId w:val="26"/>
  </w:num>
  <w:num w:numId="6">
    <w:abstractNumId w:val="1"/>
  </w:num>
  <w:num w:numId="7">
    <w:abstractNumId w:val="0"/>
  </w:num>
  <w:num w:numId="8">
    <w:abstractNumId w:val="45"/>
  </w:num>
  <w:num w:numId="9">
    <w:abstractNumId w:val="34"/>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7"/>
  </w:num>
  <w:num w:numId="20">
    <w:abstractNumId w:val="8"/>
  </w:num>
  <w:num w:numId="21">
    <w:abstractNumId w:val="36"/>
  </w:num>
  <w:num w:numId="22">
    <w:abstractNumId w:val="39"/>
  </w:num>
  <w:num w:numId="23">
    <w:abstractNumId w:val="27"/>
  </w:num>
  <w:num w:numId="24">
    <w:abstractNumId w:val="10"/>
  </w:num>
  <w:num w:numId="25">
    <w:abstractNumId w:val="38"/>
  </w:num>
  <w:num w:numId="26">
    <w:abstractNumId w:val="12"/>
  </w:num>
  <w:num w:numId="27">
    <w:abstractNumId w:val="42"/>
  </w:num>
  <w:num w:numId="28">
    <w:abstractNumId w:val="32"/>
  </w:num>
  <w:num w:numId="29">
    <w:abstractNumId w:val="19"/>
  </w:num>
  <w:num w:numId="30">
    <w:abstractNumId w:val="11"/>
  </w:num>
  <w:num w:numId="31">
    <w:abstractNumId w:val="42"/>
  </w:num>
  <w:num w:numId="32">
    <w:abstractNumId w:val="5"/>
  </w:num>
  <w:num w:numId="33">
    <w:abstractNumId w:val="23"/>
  </w:num>
  <w:num w:numId="34">
    <w:abstractNumId w:val="33"/>
  </w:num>
  <w:num w:numId="35">
    <w:abstractNumId w:val="24"/>
  </w:num>
  <w:num w:numId="36">
    <w:abstractNumId w:val="31"/>
  </w:num>
  <w:num w:numId="37">
    <w:abstractNumId w:val="13"/>
  </w:num>
  <w:num w:numId="38">
    <w:abstractNumId w:val="40"/>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1"/>
  </w:num>
  <w:num w:numId="47">
    <w:abstractNumId w:val="43"/>
  </w:num>
  <w:num w:numId="4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0A2"/>
    <w:rsid w:val="000B7742"/>
    <w:rsid w:val="000C1298"/>
    <w:rsid w:val="000C2AB4"/>
    <w:rsid w:val="000C2F93"/>
    <w:rsid w:val="000C31D1"/>
    <w:rsid w:val="000C3280"/>
    <w:rsid w:val="000C3CA9"/>
    <w:rsid w:val="000C3FC8"/>
    <w:rsid w:val="000C4148"/>
    <w:rsid w:val="000C563B"/>
    <w:rsid w:val="000C5893"/>
    <w:rsid w:val="000C591D"/>
    <w:rsid w:val="000C59C6"/>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29"/>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9DD"/>
    <w:rsid w:val="00121E60"/>
    <w:rsid w:val="00123A2E"/>
    <w:rsid w:val="001243FE"/>
    <w:rsid w:val="00124441"/>
    <w:rsid w:val="00126DD9"/>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6E84"/>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23B5"/>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48C"/>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CA7"/>
    <w:rsid w:val="002C4EE1"/>
    <w:rsid w:val="002C5735"/>
    <w:rsid w:val="002C5A0A"/>
    <w:rsid w:val="002C6161"/>
    <w:rsid w:val="002C65AB"/>
    <w:rsid w:val="002C78CA"/>
    <w:rsid w:val="002C7CC6"/>
    <w:rsid w:val="002D0490"/>
    <w:rsid w:val="002D06CA"/>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0CB"/>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8BB"/>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4A3"/>
    <w:rsid w:val="0038582D"/>
    <w:rsid w:val="00385FA4"/>
    <w:rsid w:val="003862A7"/>
    <w:rsid w:val="00386372"/>
    <w:rsid w:val="00390123"/>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2F8F"/>
    <w:rsid w:val="003D30C7"/>
    <w:rsid w:val="003D38D0"/>
    <w:rsid w:val="003D43E9"/>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946"/>
    <w:rsid w:val="00433EC8"/>
    <w:rsid w:val="0043438F"/>
    <w:rsid w:val="00434464"/>
    <w:rsid w:val="00434AEE"/>
    <w:rsid w:val="00434CDE"/>
    <w:rsid w:val="00435895"/>
    <w:rsid w:val="004364C5"/>
    <w:rsid w:val="004372AA"/>
    <w:rsid w:val="004376F5"/>
    <w:rsid w:val="00437C3A"/>
    <w:rsid w:val="00441962"/>
    <w:rsid w:val="00441DA4"/>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6B"/>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25A6"/>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077A"/>
    <w:rsid w:val="004D18FF"/>
    <w:rsid w:val="004D2B61"/>
    <w:rsid w:val="004D3639"/>
    <w:rsid w:val="004D4543"/>
    <w:rsid w:val="004D65A7"/>
    <w:rsid w:val="004D67C8"/>
    <w:rsid w:val="004D68C3"/>
    <w:rsid w:val="004D6D46"/>
    <w:rsid w:val="004D6F2E"/>
    <w:rsid w:val="004D7F2C"/>
    <w:rsid w:val="004E07F7"/>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17646"/>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795"/>
    <w:rsid w:val="005479B6"/>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AF6"/>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F4A"/>
    <w:rsid w:val="0060388C"/>
    <w:rsid w:val="00603D9B"/>
    <w:rsid w:val="00603F1F"/>
    <w:rsid w:val="00603FF3"/>
    <w:rsid w:val="0060442E"/>
    <w:rsid w:val="00604928"/>
    <w:rsid w:val="00605384"/>
    <w:rsid w:val="00606A30"/>
    <w:rsid w:val="006070D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4361"/>
    <w:rsid w:val="00615B41"/>
    <w:rsid w:val="006160C9"/>
    <w:rsid w:val="00616782"/>
    <w:rsid w:val="006169A0"/>
    <w:rsid w:val="00617AAC"/>
    <w:rsid w:val="006201C2"/>
    <w:rsid w:val="00620E47"/>
    <w:rsid w:val="0062162D"/>
    <w:rsid w:val="0062215E"/>
    <w:rsid w:val="00622210"/>
    <w:rsid w:val="00622D02"/>
    <w:rsid w:val="006232DE"/>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1938"/>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712"/>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3C82"/>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AB6"/>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73E"/>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17D11"/>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7D1"/>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071"/>
    <w:rsid w:val="008B3894"/>
    <w:rsid w:val="008B3C06"/>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5C3"/>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266E"/>
    <w:rsid w:val="009629BB"/>
    <w:rsid w:val="00963062"/>
    <w:rsid w:val="00963980"/>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4CA"/>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561C"/>
    <w:rsid w:val="009A5854"/>
    <w:rsid w:val="009A6082"/>
    <w:rsid w:val="009A715C"/>
    <w:rsid w:val="009A7A47"/>
    <w:rsid w:val="009A7D00"/>
    <w:rsid w:val="009A7E04"/>
    <w:rsid w:val="009B0494"/>
    <w:rsid w:val="009B262A"/>
    <w:rsid w:val="009B29D5"/>
    <w:rsid w:val="009B2AF7"/>
    <w:rsid w:val="009B2DF8"/>
    <w:rsid w:val="009B4359"/>
    <w:rsid w:val="009B4A9B"/>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E2F"/>
    <w:rsid w:val="00A034F5"/>
    <w:rsid w:val="00A03F50"/>
    <w:rsid w:val="00A0513C"/>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7F"/>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4DB"/>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AF767B"/>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67CB3"/>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2B89"/>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58A"/>
    <w:rsid w:val="00C36DFD"/>
    <w:rsid w:val="00C3715F"/>
    <w:rsid w:val="00C37474"/>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7CE"/>
    <w:rsid w:val="00DA6E43"/>
    <w:rsid w:val="00DA7057"/>
    <w:rsid w:val="00DA7D01"/>
    <w:rsid w:val="00DB0437"/>
    <w:rsid w:val="00DB06E9"/>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725"/>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6893"/>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5C3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72BAA-6286-4DAC-8CB0-A5A984E79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2017-07-25T13:52:00Z</dcterms:created>
  <dcterms:modified xsi:type="dcterms:W3CDTF">2017-08-11T12:49:00Z</dcterms:modified>
</cp:coreProperties>
</file>